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C943F" w14:textId="04A3DBE2" w:rsidR="00064B20" w:rsidRPr="006E3C70" w:rsidRDefault="00064B20" w:rsidP="006E3C70">
      <w:pPr>
        <w:spacing w:after="0" w:line="276" w:lineRule="auto"/>
        <w:jc w:val="center"/>
        <w:rPr>
          <w:rFonts w:cstheme="minorHAnsi"/>
          <w:b/>
          <w:bCs/>
          <w:sz w:val="28"/>
          <w:szCs w:val="28"/>
        </w:rPr>
      </w:pPr>
      <w:r w:rsidRPr="006E3C70">
        <w:rPr>
          <w:rFonts w:cstheme="minorHAnsi"/>
          <w:b/>
          <w:bCs/>
          <w:sz w:val="28"/>
          <w:szCs w:val="28"/>
        </w:rPr>
        <w:t>Generating Evidence of Climate Change Adaptation and Food Security Impacts of Resilience and Food Security Program in Tanzania</w:t>
      </w:r>
    </w:p>
    <w:p w14:paraId="674E4688" w14:textId="066D3C49" w:rsidR="008233AF" w:rsidRPr="006E3C70" w:rsidRDefault="008233AF" w:rsidP="006E3C70">
      <w:pPr>
        <w:spacing w:after="0" w:line="276" w:lineRule="auto"/>
        <w:jc w:val="center"/>
        <w:rPr>
          <w:rFonts w:cstheme="minorHAnsi"/>
          <w:b/>
          <w:bCs/>
          <w:sz w:val="28"/>
          <w:szCs w:val="28"/>
        </w:rPr>
      </w:pPr>
      <w:r w:rsidRPr="006E3C70">
        <w:rPr>
          <w:rFonts w:cstheme="minorHAnsi"/>
          <w:b/>
          <w:bCs/>
          <w:sz w:val="28"/>
          <w:szCs w:val="28"/>
        </w:rPr>
        <w:t xml:space="preserve">Terms of Reference </w:t>
      </w:r>
      <w:r w:rsidR="00DA4F88">
        <w:rPr>
          <w:rFonts w:cstheme="minorHAnsi"/>
          <w:b/>
          <w:bCs/>
          <w:sz w:val="28"/>
          <w:szCs w:val="28"/>
        </w:rPr>
        <w:t>(ToR)</w:t>
      </w:r>
    </w:p>
    <w:p w14:paraId="5D1D1B47" w14:textId="77777777" w:rsidR="00F61192" w:rsidRPr="006E3C70" w:rsidRDefault="00F61192" w:rsidP="006E3C70">
      <w:pPr>
        <w:spacing w:after="0" w:line="276" w:lineRule="auto"/>
        <w:rPr>
          <w:rFonts w:cstheme="minorHAnsi"/>
          <w:sz w:val="24"/>
          <w:szCs w:val="24"/>
        </w:rPr>
      </w:pPr>
    </w:p>
    <w:p w14:paraId="53E8270D" w14:textId="77777777" w:rsidR="00F61192" w:rsidRPr="006E3C70" w:rsidRDefault="000307CA" w:rsidP="006E3C70">
      <w:pPr>
        <w:spacing w:after="0" w:line="276" w:lineRule="auto"/>
        <w:rPr>
          <w:rFonts w:cstheme="minorHAnsi"/>
          <w:b/>
          <w:bCs/>
          <w:sz w:val="24"/>
          <w:szCs w:val="24"/>
        </w:rPr>
      </w:pPr>
      <w:r w:rsidRPr="006E3C70">
        <w:rPr>
          <w:rFonts w:cstheme="minorHAnsi"/>
          <w:b/>
          <w:bCs/>
          <w:sz w:val="24"/>
          <w:szCs w:val="24"/>
        </w:rPr>
        <w:t xml:space="preserve">Assignment: </w:t>
      </w:r>
    </w:p>
    <w:p w14:paraId="08E3F19B" w14:textId="42D1ACFA" w:rsidR="00973D46" w:rsidRPr="006E3C70" w:rsidRDefault="000307CA" w:rsidP="006E3C70">
      <w:pPr>
        <w:spacing w:after="0" w:line="276" w:lineRule="auto"/>
        <w:rPr>
          <w:rFonts w:cstheme="minorHAnsi"/>
          <w:sz w:val="24"/>
          <w:szCs w:val="24"/>
        </w:rPr>
      </w:pPr>
      <w:r w:rsidRPr="006E3C70">
        <w:rPr>
          <w:rFonts w:cstheme="minorHAnsi"/>
          <w:sz w:val="24"/>
          <w:szCs w:val="24"/>
        </w:rPr>
        <w:t xml:space="preserve">Assess the </w:t>
      </w:r>
      <w:r w:rsidR="00F61192" w:rsidRPr="006E3C70">
        <w:rPr>
          <w:rFonts w:cstheme="minorHAnsi"/>
          <w:sz w:val="24"/>
          <w:szCs w:val="24"/>
        </w:rPr>
        <w:t xml:space="preserve">climate change adaptation and food security interventions </w:t>
      </w:r>
      <w:r w:rsidR="000975B4" w:rsidRPr="006E3C70">
        <w:rPr>
          <w:rFonts w:cstheme="minorHAnsi"/>
          <w:sz w:val="24"/>
          <w:szCs w:val="24"/>
        </w:rPr>
        <w:t>in “</w:t>
      </w:r>
      <w:r w:rsidR="000975B4" w:rsidRPr="006E3C70">
        <w:rPr>
          <w:rFonts w:eastAsia="Gill Sans MT" w:cstheme="minorHAnsi"/>
          <w:sz w:val="24"/>
          <w:szCs w:val="24"/>
        </w:rPr>
        <w:t>Improved Nutrition for Better Life (Lishe Endelevu)”</w:t>
      </w:r>
      <w:r w:rsidR="00F61192" w:rsidRPr="006E3C70">
        <w:rPr>
          <w:rFonts w:cstheme="minorHAnsi"/>
          <w:sz w:val="24"/>
          <w:szCs w:val="24"/>
        </w:rPr>
        <w:t xml:space="preserve"> in </w:t>
      </w:r>
      <w:r w:rsidR="00DC5999" w:rsidRPr="006E3C70">
        <w:rPr>
          <w:rFonts w:cstheme="minorHAnsi"/>
          <w:sz w:val="24"/>
          <w:szCs w:val="24"/>
        </w:rPr>
        <w:t>Tanzania</w:t>
      </w:r>
    </w:p>
    <w:p w14:paraId="2566CC72" w14:textId="614AA24F" w:rsidR="00E60E0D" w:rsidRPr="006E3C70" w:rsidRDefault="00E60E0D" w:rsidP="006E3C70">
      <w:pPr>
        <w:spacing w:after="0" w:line="276" w:lineRule="auto"/>
        <w:rPr>
          <w:rFonts w:cstheme="minorHAnsi"/>
          <w:sz w:val="24"/>
          <w:szCs w:val="24"/>
        </w:rPr>
      </w:pPr>
    </w:p>
    <w:p w14:paraId="0741A31E" w14:textId="7C0D96C3" w:rsidR="00F61192" w:rsidRPr="006E3C70" w:rsidRDefault="00CC0038" w:rsidP="006E3C70">
      <w:pPr>
        <w:spacing w:after="0" w:line="276" w:lineRule="auto"/>
        <w:rPr>
          <w:rFonts w:cstheme="minorHAnsi"/>
          <w:b/>
          <w:bCs/>
          <w:sz w:val="24"/>
          <w:szCs w:val="24"/>
        </w:rPr>
      </w:pPr>
      <w:r w:rsidRPr="006E3C70">
        <w:rPr>
          <w:rFonts w:cstheme="minorHAnsi"/>
          <w:b/>
          <w:bCs/>
          <w:sz w:val="24"/>
          <w:szCs w:val="24"/>
        </w:rPr>
        <w:t>Overview</w:t>
      </w:r>
      <w:r w:rsidR="00F61192" w:rsidRPr="006E3C70">
        <w:rPr>
          <w:rFonts w:cstheme="minorHAnsi"/>
          <w:b/>
          <w:bCs/>
          <w:sz w:val="24"/>
          <w:szCs w:val="24"/>
        </w:rPr>
        <w:t>:</w:t>
      </w:r>
    </w:p>
    <w:p w14:paraId="1E144D5F" w14:textId="77777777" w:rsidR="001A1E52" w:rsidRPr="006E3C70" w:rsidRDefault="00607D81" w:rsidP="006E3C70">
      <w:pPr>
        <w:spacing w:after="0" w:line="276" w:lineRule="auto"/>
        <w:rPr>
          <w:rFonts w:cstheme="minorHAnsi"/>
          <w:sz w:val="24"/>
          <w:szCs w:val="24"/>
        </w:rPr>
      </w:pPr>
      <w:r w:rsidRPr="006E3C70">
        <w:rPr>
          <w:rFonts w:eastAsia="Gill Sans MT" w:cstheme="minorHAnsi"/>
          <w:sz w:val="24"/>
          <w:szCs w:val="24"/>
        </w:rPr>
        <w:t xml:space="preserve">Improved Nutrition for Better Life (Lishe Endelevu) is a five-year project (2019-2024), funded by the United States Agency for International Development (USAID), with the goal of </w:t>
      </w:r>
      <w:r w:rsidRPr="006E3C70">
        <w:rPr>
          <w:rFonts w:cstheme="minorHAnsi"/>
          <w:sz w:val="24"/>
          <w:szCs w:val="24"/>
        </w:rPr>
        <w:t xml:space="preserve">household sustainable nutrition management through capacity building and increased access to and availability of diverse, safe, and nutritious foods. The project targets </w:t>
      </w:r>
      <w:r w:rsidRPr="006E3C70">
        <w:rPr>
          <w:rFonts w:eastAsia="Gill Sans MT" w:cstheme="minorHAnsi"/>
          <w:sz w:val="24"/>
          <w:szCs w:val="24"/>
        </w:rPr>
        <w:t xml:space="preserve">improving the nutritional status of pregnant and lactating women (PLWs), children under five (CU5), and adolescent girls across 23 districts of Dodoma, Morogoro, Iringa, and Rukwa regions in Tanzania. The project aims to reach 1.63 million women of reproductive age, 1.16 million children under five, and 364,735 adolescents (5-19 years) with improved nutrition services. Three key objectives of this program are related to climate change adaptation and resilience building, i) </w:t>
      </w:r>
      <w:r w:rsidRPr="006E3C70">
        <w:rPr>
          <w:rFonts w:cstheme="minorHAnsi"/>
          <w:sz w:val="24"/>
          <w:szCs w:val="24"/>
        </w:rPr>
        <w:t>Access to and delivery of quality nutrition services at facility and community levels, ii) Household production and consumption of nutrient-rich foods, and iii) Equitable control over household resources and income generation for dietary diversity.</w:t>
      </w:r>
      <w:r w:rsidR="00915447" w:rsidRPr="006E3C70">
        <w:rPr>
          <w:rFonts w:cstheme="minorHAnsi"/>
          <w:sz w:val="24"/>
          <w:szCs w:val="24"/>
        </w:rPr>
        <w:t xml:space="preserve"> </w:t>
      </w:r>
    </w:p>
    <w:p w14:paraId="2C20ED12" w14:textId="77777777" w:rsidR="00F24993" w:rsidRDefault="00F24993" w:rsidP="006E3C70">
      <w:pPr>
        <w:spacing w:after="0" w:line="276" w:lineRule="auto"/>
        <w:rPr>
          <w:rFonts w:cstheme="minorHAnsi"/>
          <w:sz w:val="24"/>
          <w:szCs w:val="24"/>
        </w:rPr>
      </w:pPr>
    </w:p>
    <w:p w14:paraId="70644A17" w14:textId="6054B141" w:rsidR="00210A14" w:rsidRPr="006E3C70" w:rsidRDefault="00915447" w:rsidP="006E3C70">
      <w:pPr>
        <w:spacing w:after="0" w:line="276" w:lineRule="auto"/>
        <w:rPr>
          <w:rFonts w:cstheme="minorHAnsi"/>
          <w:sz w:val="24"/>
          <w:szCs w:val="24"/>
        </w:rPr>
      </w:pPr>
      <w:r w:rsidRPr="006E3C70">
        <w:rPr>
          <w:rFonts w:cstheme="minorHAnsi"/>
          <w:sz w:val="24"/>
          <w:szCs w:val="24"/>
        </w:rPr>
        <w:t>Project activities focused on absorptive, adaptive, and transformational changes for adapting and managing climatic risks by supporting</w:t>
      </w:r>
      <w:r w:rsidR="00210A14" w:rsidRPr="006E3C70">
        <w:rPr>
          <w:rFonts w:cstheme="minorHAnsi"/>
          <w:sz w:val="24"/>
          <w:szCs w:val="24"/>
        </w:rPr>
        <w:t>:</w:t>
      </w:r>
    </w:p>
    <w:p w14:paraId="48A85EA6" w14:textId="3A808B14" w:rsidR="005D7B73" w:rsidRPr="006E3C70" w:rsidRDefault="005D7B73" w:rsidP="00F24993">
      <w:pPr>
        <w:pStyle w:val="ListParagraph"/>
        <w:numPr>
          <w:ilvl w:val="0"/>
          <w:numId w:val="3"/>
        </w:numPr>
        <w:spacing w:before="120" w:after="120" w:line="276" w:lineRule="auto"/>
        <w:rPr>
          <w:rFonts w:cstheme="minorHAnsi"/>
          <w:sz w:val="24"/>
          <w:szCs w:val="24"/>
        </w:rPr>
      </w:pPr>
      <w:r w:rsidRPr="006E3C70">
        <w:rPr>
          <w:rFonts w:cstheme="minorHAnsi"/>
          <w:sz w:val="24"/>
          <w:szCs w:val="24"/>
        </w:rPr>
        <w:t xml:space="preserve">Stable income of communities and households, especially vulnerable females, and males, in </w:t>
      </w:r>
      <w:r w:rsidR="0096212E" w:rsidRPr="006E3C70">
        <w:rPr>
          <w:rFonts w:cstheme="minorHAnsi"/>
          <w:sz w:val="24"/>
          <w:szCs w:val="24"/>
        </w:rPr>
        <w:t>project</w:t>
      </w:r>
      <w:r w:rsidRPr="006E3C70">
        <w:rPr>
          <w:rFonts w:cstheme="minorHAnsi"/>
          <w:sz w:val="24"/>
          <w:szCs w:val="24"/>
        </w:rPr>
        <w:t xml:space="preserve"> areas is increased – through improved on-farm practices and technologies for crops and livestock, vocational and business development training, improved access to financial services, and market development initiatives;</w:t>
      </w:r>
    </w:p>
    <w:p w14:paraId="7E43D041" w14:textId="77777777" w:rsidR="005D7B73" w:rsidRPr="006E3C70" w:rsidRDefault="005D7B73" w:rsidP="00F24993">
      <w:pPr>
        <w:pStyle w:val="NormalWeb"/>
        <w:numPr>
          <w:ilvl w:val="0"/>
          <w:numId w:val="3"/>
        </w:numPr>
        <w:spacing w:before="120" w:beforeAutospacing="0" w:after="120" w:afterAutospacing="0" w:line="276" w:lineRule="auto"/>
        <w:rPr>
          <w:rFonts w:asciiTheme="minorHAnsi" w:hAnsiTheme="minorHAnsi" w:cstheme="minorHAnsi"/>
        </w:rPr>
      </w:pPr>
      <w:r w:rsidRPr="006E3C70">
        <w:rPr>
          <w:rFonts w:asciiTheme="minorHAnsi" w:hAnsiTheme="minorHAnsi" w:cstheme="minorHAnsi"/>
        </w:rPr>
        <w:t>Health and nutrition status of pregnant and lactating women, children under 5, and their families is improved – through health and nutrition services, homestead food production; improved water, sanitation, and hygiene (WASH); and</w:t>
      </w:r>
    </w:p>
    <w:p w14:paraId="0A995889" w14:textId="53955B1E" w:rsidR="005D7B73" w:rsidRPr="006E3C70" w:rsidRDefault="005D7B73" w:rsidP="00F24993">
      <w:pPr>
        <w:pStyle w:val="NormalWeb"/>
        <w:numPr>
          <w:ilvl w:val="0"/>
          <w:numId w:val="3"/>
        </w:numPr>
        <w:spacing w:before="120" w:beforeAutospacing="0" w:after="120" w:afterAutospacing="0" w:line="276" w:lineRule="auto"/>
        <w:rPr>
          <w:rFonts w:asciiTheme="minorHAnsi" w:hAnsiTheme="minorHAnsi" w:cstheme="minorHAnsi"/>
        </w:rPr>
      </w:pPr>
      <w:r w:rsidRPr="006E3C70">
        <w:rPr>
          <w:rFonts w:asciiTheme="minorHAnsi" w:hAnsiTheme="minorHAnsi" w:cstheme="minorHAnsi"/>
        </w:rPr>
        <w:t>Ability of households and communities to mitigate, adapt to and recover from shocks and stresses is strengthened – through climate change adaptation activities.</w:t>
      </w:r>
    </w:p>
    <w:p w14:paraId="1AC140EA" w14:textId="77777777" w:rsidR="006E3C70" w:rsidRDefault="006E3C70" w:rsidP="006E3C70">
      <w:pPr>
        <w:spacing w:after="0" w:line="276" w:lineRule="auto"/>
        <w:rPr>
          <w:rFonts w:cstheme="minorHAnsi"/>
          <w:sz w:val="24"/>
          <w:szCs w:val="24"/>
        </w:rPr>
      </w:pPr>
    </w:p>
    <w:p w14:paraId="37E62A41" w14:textId="0FBB2D30" w:rsidR="005D7B73" w:rsidRPr="006E3C70" w:rsidRDefault="00613E6A" w:rsidP="006E3C70">
      <w:pPr>
        <w:spacing w:after="0" w:line="276" w:lineRule="auto"/>
        <w:rPr>
          <w:rFonts w:cstheme="minorHAnsi"/>
          <w:sz w:val="24"/>
          <w:szCs w:val="24"/>
        </w:rPr>
      </w:pPr>
      <w:r w:rsidRPr="006E3C70">
        <w:rPr>
          <w:rFonts w:cstheme="minorHAnsi"/>
          <w:sz w:val="24"/>
          <w:szCs w:val="24"/>
        </w:rPr>
        <w:t xml:space="preserve">The </w:t>
      </w:r>
      <w:r w:rsidR="00CE5DD9" w:rsidRPr="006E3C70">
        <w:rPr>
          <w:rFonts w:eastAsia="Gill Sans MT" w:cstheme="minorHAnsi"/>
          <w:sz w:val="24"/>
          <w:szCs w:val="24"/>
        </w:rPr>
        <w:t>Lishe Endelevu</w:t>
      </w:r>
      <w:r w:rsidRPr="006E3C70">
        <w:rPr>
          <w:rFonts w:cstheme="minorHAnsi"/>
          <w:sz w:val="24"/>
          <w:szCs w:val="24"/>
        </w:rPr>
        <w:t xml:space="preserve"> supported model farmers to establish village demonstration plots for improved crop production, small livestock and aquaculture, and consumption of nutrient-rich </w:t>
      </w:r>
      <w:r w:rsidRPr="006E3C70">
        <w:rPr>
          <w:rFonts w:cstheme="minorHAnsi"/>
          <w:sz w:val="24"/>
          <w:szCs w:val="24"/>
        </w:rPr>
        <w:lastRenderedPageBreak/>
        <w:t xml:space="preserve">foods. </w:t>
      </w:r>
      <w:r w:rsidR="00CE5DD9" w:rsidRPr="006E3C70">
        <w:rPr>
          <w:rFonts w:cstheme="minorHAnsi"/>
          <w:sz w:val="24"/>
          <w:szCs w:val="24"/>
        </w:rPr>
        <w:t>It also</w:t>
      </w:r>
      <w:r w:rsidR="005D7B73" w:rsidRPr="006E3C70">
        <w:rPr>
          <w:rFonts w:cstheme="minorHAnsi"/>
          <w:sz w:val="24"/>
          <w:szCs w:val="24"/>
        </w:rPr>
        <w:t xml:space="preserve"> helped lay the foundation for improved resilience and long-term self-reliance. </w:t>
      </w:r>
      <w:r w:rsidR="005D7B73" w:rsidRPr="006E3C70">
        <w:rPr>
          <w:rStyle w:val="normaltextrun"/>
          <w:rFonts w:cstheme="minorHAnsi"/>
          <w:color w:val="000000"/>
          <w:sz w:val="24"/>
          <w:szCs w:val="24"/>
          <w:shd w:val="clear" w:color="auto" w:fill="FFFFFF"/>
        </w:rPr>
        <w:t>This assignment focuses on assessing the impact and/or effectiveness of SC’s approach in relation to</w:t>
      </w:r>
      <w:r w:rsidR="005D7B73" w:rsidRPr="006E3C70">
        <w:rPr>
          <w:rFonts w:eastAsia="Times New Roman" w:cstheme="minorHAnsi"/>
          <w:sz w:val="24"/>
          <w:szCs w:val="24"/>
        </w:rPr>
        <w:t>:</w:t>
      </w:r>
    </w:p>
    <w:p w14:paraId="6060D7EC" w14:textId="77777777" w:rsidR="00325AEA" w:rsidRPr="006E3C70" w:rsidRDefault="00325AEA" w:rsidP="00F24993">
      <w:pPr>
        <w:pStyle w:val="ListParagraph"/>
        <w:numPr>
          <w:ilvl w:val="0"/>
          <w:numId w:val="9"/>
        </w:numPr>
        <w:spacing w:before="120" w:after="120" w:line="276" w:lineRule="auto"/>
        <w:ind w:left="446"/>
        <w:rPr>
          <w:rFonts w:cstheme="minorHAnsi"/>
          <w:color w:val="000000"/>
          <w:sz w:val="24"/>
          <w:szCs w:val="24"/>
          <w:shd w:val="clear" w:color="auto" w:fill="FFFFFF"/>
        </w:rPr>
      </w:pPr>
      <w:r w:rsidRPr="006E3C70">
        <w:rPr>
          <w:rFonts w:cstheme="minorHAnsi"/>
          <w:sz w:val="24"/>
          <w:szCs w:val="24"/>
        </w:rPr>
        <w:t xml:space="preserve">Nutrition-sensitive agriculture with conservation agriculture practices </w:t>
      </w:r>
    </w:p>
    <w:p w14:paraId="7E484FE0" w14:textId="77777777" w:rsidR="00325AEA" w:rsidRPr="006E3C70" w:rsidRDefault="00325AEA" w:rsidP="00F24993">
      <w:pPr>
        <w:pStyle w:val="ListParagraph"/>
        <w:numPr>
          <w:ilvl w:val="0"/>
          <w:numId w:val="9"/>
        </w:numPr>
        <w:spacing w:before="120" w:after="120" w:line="276" w:lineRule="auto"/>
        <w:ind w:left="446"/>
        <w:rPr>
          <w:rFonts w:cstheme="minorHAnsi"/>
          <w:color w:val="000000"/>
          <w:sz w:val="24"/>
          <w:szCs w:val="24"/>
          <w:shd w:val="clear" w:color="auto" w:fill="FFFFFF"/>
        </w:rPr>
      </w:pPr>
      <w:r w:rsidRPr="006E3C70">
        <w:rPr>
          <w:rFonts w:cstheme="minorHAnsi"/>
          <w:sz w:val="24"/>
          <w:szCs w:val="24"/>
        </w:rPr>
        <w:t xml:space="preserve">Enhanced community conversation and knowledge sharing for climate risks management </w:t>
      </w:r>
    </w:p>
    <w:p w14:paraId="372D3EBC" w14:textId="77777777" w:rsidR="00325AEA" w:rsidRPr="006E3C70" w:rsidRDefault="00325AEA" w:rsidP="00F24993">
      <w:pPr>
        <w:pStyle w:val="ListParagraph"/>
        <w:numPr>
          <w:ilvl w:val="0"/>
          <w:numId w:val="9"/>
        </w:numPr>
        <w:spacing w:before="120" w:after="120" w:line="276" w:lineRule="auto"/>
        <w:ind w:left="446"/>
        <w:rPr>
          <w:rFonts w:cstheme="minorHAnsi"/>
          <w:color w:val="000000"/>
          <w:sz w:val="24"/>
          <w:szCs w:val="24"/>
          <w:shd w:val="clear" w:color="auto" w:fill="FFFFFF"/>
        </w:rPr>
      </w:pPr>
      <w:r w:rsidRPr="006E3C70">
        <w:rPr>
          <w:rFonts w:cstheme="minorHAnsi"/>
          <w:sz w:val="24"/>
          <w:szCs w:val="24"/>
        </w:rPr>
        <w:t>Building economic resilience via the production of aquaculture and small ruminants</w:t>
      </w:r>
    </w:p>
    <w:p w14:paraId="4798822D" w14:textId="77777777" w:rsidR="00325AEA" w:rsidRPr="006E3C70" w:rsidRDefault="00325AEA" w:rsidP="006E3C70">
      <w:pPr>
        <w:spacing w:after="0" w:line="276" w:lineRule="auto"/>
        <w:rPr>
          <w:rFonts w:cstheme="minorHAnsi"/>
          <w:b/>
          <w:bCs/>
          <w:sz w:val="24"/>
          <w:szCs w:val="24"/>
        </w:rPr>
      </w:pPr>
    </w:p>
    <w:p w14:paraId="216013E6" w14:textId="7297E0D0" w:rsidR="00760802" w:rsidRPr="006E3C70" w:rsidRDefault="00144403" w:rsidP="006E3C70">
      <w:pPr>
        <w:spacing w:after="0" w:line="276" w:lineRule="auto"/>
        <w:rPr>
          <w:rFonts w:cstheme="minorHAnsi"/>
          <w:b/>
          <w:bCs/>
          <w:sz w:val="24"/>
          <w:szCs w:val="24"/>
        </w:rPr>
      </w:pPr>
      <w:r w:rsidRPr="006E3C70">
        <w:rPr>
          <w:rFonts w:cstheme="minorHAnsi"/>
          <w:b/>
          <w:bCs/>
          <w:sz w:val="24"/>
          <w:szCs w:val="24"/>
        </w:rPr>
        <w:t xml:space="preserve">Data and </w:t>
      </w:r>
      <w:r w:rsidR="00760802" w:rsidRPr="006E3C70">
        <w:rPr>
          <w:rFonts w:cstheme="minorHAnsi"/>
          <w:b/>
          <w:bCs/>
          <w:sz w:val="24"/>
          <w:szCs w:val="24"/>
        </w:rPr>
        <w:t xml:space="preserve">Method </w:t>
      </w:r>
    </w:p>
    <w:p w14:paraId="7DE8304C" w14:textId="7D37BAE9" w:rsidR="00760802" w:rsidRPr="006E3C70" w:rsidRDefault="00760802" w:rsidP="006E3C70">
      <w:pPr>
        <w:spacing w:after="0" w:line="276" w:lineRule="auto"/>
        <w:rPr>
          <w:rFonts w:cstheme="minorHAnsi"/>
          <w:b/>
          <w:bCs/>
          <w:sz w:val="24"/>
          <w:szCs w:val="24"/>
        </w:rPr>
      </w:pPr>
      <w:r w:rsidRPr="006E3C70">
        <w:rPr>
          <w:rFonts w:cstheme="minorHAnsi"/>
          <w:b/>
          <w:bCs/>
          <w:sz w:val="24"/>
          <w:szCs w:val="24"/>
        </w:rPr>
        <w:t xml:space="preserve">A. Desk review </w:t>
      </w:r>
    </w:p>
    <w:p w14:paraId="4F91DA54" w14:textId="3F330A72" w:rsidR="00760802" w:rsidRPr="006E3C70" w:rsidRDefault="00A448BC" w:rsidP="006E3C70">
      <w:pPr>
        <w:spacing w:after="0" w:line="276" w:lineRule="auto"/>
        <w:rPr>
          <w:rFonts w:cstheme="minorHAnsi"/>
          <w:sz w:val="24"/>
          <w:szCs w:val="24"/>
        </w:rPr>
      </w:pPr>
      <w:r w:rsidRPr="006E3C70">
        <w:rPr>
          <w:rFonts w:cstheme="minorHAnsi"/>
          <w:sz w:val="24"/>
          <w:szCs w:val="24"/>
        </w:rPr>
        <w:t xml:space="preserve">This activity will conduct a thorough desk review of the </w:t>
      </w:r>
      <w:r w:rsidR="00F24993" w:rsidRPr="006E3C70">
        <w:rPr>
          <w:rFonts w:eastAsia="Gill Sans MT" w:cstheme="minorHAnsi"/>
          <w:sz w:val="24"/>
          <w:szCs w:val="24"/>
        </w:rPr>
        <w:t>Lishe Endelevu</w:t>
      </w:r>
      <w:r w:rsidR="00F24993" w:rsidRPr="006E3C70">
        <w:rPr>
          <w:rFonts w:cstheme="minorHAnsi"/>
          <w:sz w:val="24"/>
          <w:szCs w:val="24"/>
        </w:rPr>
        <w:t xml:space="preserve"> </w:t>
      </w:r>
      <w:r w:rsidRPr="006E3C70">
        <w:rPr>
          <w:rFonts w:cstheme="minorHAnsi"/>
          <w:sz w:val="24"/>
          <w:szCs w:val="24"/>
        </w:rPr>
        <w:t xml:space="preserve">project to identify climate adaptation efforts and approaches in the context of climate change adaptation planning and implementation for resilience building. </w:t>
      </w:r>
      <w:r w:rsidR="00760802" w:rsidRPr="006E3C70">
        <w:rPr>
          <w:rFonts w:cstheme="minorHAnsi"/>
          <w:sz w:val="24"/>
          <w:szCs w:val="24"/>
        </w:rPr>
        <w:t xml:space="preserve">This will include mapping, organizing, and synthesizing available information </w:t>
      </w:r>
      <w:r w:rsidR="007C38C0" w:rsidRPr="006E3C70">
        <w:rPr>
          <w:rFonts w:cstheme="minorHAnsi"/>
          <w:sz w:val="24"/>
          <w:szCs w:val="24"/>
        </w:rPr>
        <w:t>in coordination and consultation with the country team</w:t>
      </w:r>
      <w:r w:rsidR="00760802" w:rsidRPr="006E3C70">
        <w:rPr>
          <w:rFonts w:cstheme="minorHAnsi"/>
          <w:sz w:val="24"/>
          <w:szCs w:val="24"/>
        </w:rPr>
        <w:t xml:space="preserve">. The desk review </w:t>
      </w:r>
      <w:r w:rsidR="00657362" w:rsidRPr="006E3C70">
        <w:rPr>
          <w:rFonts w:cstheme="minorHAnsi"/>
          <w:sz w:val="24"/>
          <w:szCs w:val="24"/>
        </w:rPr>
        <w:t>should</w:t>
      </w:r>
      <w:r w:rsidR="00760802" w:rsidRPr="006E3C70">
        <w:rPr>
          <w:rFonts w:cstheme="minorHAnsi"/>
          <w:sz w:val="24"/>
          <w:szCs w:val="24"/>
        </w:rPr>
        <w:t xml:space="preserve"> focus to generate both qualitative and quantitative information based on the available information in project proposals, annual and quarterly reports, available annual and quarterly surveyed data, and published knowledge products related to the selected projects/programs. The focus of analysis and interpretation to be on: </w:t>
      </w:r>
    </w:p>
    <w:p w14:paraId="2971B922" w14:textId="77777777" w:rsidR="00760802" w:rsidRPr="006E3C70" w:rsidRDefault="00760802" w:rsidP="006E3C70">
      <w:pPr>
        <w:pStyle w:val="ListParagraph"/>
        <w:numPr>
          <w:ilvl w:val="0"/>
          <w:numId w:val="5"/>
        </w:numPr>
        <w:spacing w:after="0" w:line="276" w:lineRule="auto"/>
        <w:contextualSpacing w:val="0"/>
        <w:rPr>
          <w:rFonts w:cstheme="minorHAnsi"/>
          <w:sz w:val="24"/>
          <w:szCs w:val="24"/>
        </w:rPr>
      </w:pPr>
      <w:r w:rsidRPr="006E3C70">
        <w:rPr>
          <w:rFonts w:cstheme="minorHAnsi"/>
          <w:sz w:val="24"/>
          <w:szCs w:val="24"/>
        </w:rPr>
        <w:t xml:space="preserve">Develop a typology of climate adaptation interventions in agriculture and natural resource management, including key characteristics, associated success, and challenges, </w:t>
      </w:r>
    </w:p>
    <w:p w14:paraId="0AD8276B" w14:textId="21DAD334" w:rsidR="00760802" w:rsidRPr="006E3C70" w:rsidRDefault="00760802" w:rsidP="006E3C70">
      <w:pPr>
        <w:pStyle w:val="ListParagraph"/>
        <w:numPr>
          <w:ilvl w:val="0"/>
          <w:numId w:val="5"/>
        </w:numPr>
        <w:spacing w:after="0" w:line="276" w:lineRule="auto"/>
        <w:contextualSpacing w:val="0"/>
        <w:rPr>
          <w:rFonts w:cstheme="minorHAnsi"/>
          <w:sz w:val="24"/>
          <w:szCs w:val="24"/>
        </w:rPr>
      </w:pPr>
      <w:r w:rsidRPr="006E3C70">
        <w:rPr>
          <w:rFonts w:cstheme="minorHAnsi"/>
          <w:sz w:val="24"/>
          <w:szCs w:val="24"/>
        </w:rPr>
        <w:t xml:space="preserve">Discuss how identified climate adaptation interventions and activities were prioritized and integrated with </w:t>
      </w:r>
      <w:r w:rsidR="006B0763" w:rsidRPr="006E3C70">
        <w:rPr>
          <w:rFonts w:eastAsia="Gill Sans MT" w:cstheme="minorHAnsi"/>
          <w:sz w:val="24"/>
          <w:szCs w:val="24"/>
        </w:rPr>
        <w:t>Lishe Endelevu</w:t>
      </w:r>
      <w:r w:rsidRPr="006E3C70">
        <w:rPr>
          <w:rFonts w:cstheme="minorHAnsi"/>
          <w:sz w:val="24"/>
          <w:szCs w:val="24"/>
        </w:rPr>
        <w:t xml:space="preserve">, </w:t>
      </w:r>
    </w:p>
    <w:p w14:paraId="216CF416" w14:textId="77777777" w:rsidR="00760802" w:rsidRPr="006E3C70" w:rsidRDefault="00760802" w:rsidP="006E3C70">
      <w:pPr>
        <w:pStyle w:val="ListParagraph"/>
        <w:numPr>
          <w:ilvl w:val="0"/>
          <w:numId w:val="5"/>
        </w:numPr>
        <w:spacing w:after="0" w:line="276" w:lineRule="auto"/>
        <w:contextualSpacing w:val="0"/>
        <w:rPr>
          <w:rFonts w:cstheme="minorHAnsi"/>
          <w:sz w:val="24"/>
          <w:szCs w:val="24"/>
        </w:rPr>
      </w:pPr>
      <w:r w:rsidRPr="006E3C70">
        <w:rPr>
          <w:rFonts w:cstheme="minorHAnsi"/>
          <w:sz w:val="24"/>
          <w:szCs w:val="24"/>
        </w:rPr>
        <w:t xml:space="preserve">Identify the linkage of interventions with government climate change adaptation initiatives and community-lead climate change adaptation actions </w:t>
      </w:r>
    </w:p>
    <w:p w14:paraId="6BDCBD04" w14:textId="77777777" w:rsidR="00760802" w:rsidRPr="006E3C70" w:rsidRDefault="00760802" w:rsidP="006E3C70">
      <w:pPr>
        <w:pStyle w:val="ListParagraph"/>
        <w:numPr>
          <w:ilvl w:val="0"/>
          <w:numId w:val="5"/>
        </w:numPr>
        <w:spacing w:after="0" w:line="276" w:lineRule="auto"/>
        <w:contextualSpacing w:val="0"/>
        <w:rPr>
          <w:rFonts w:cstheme="minorHAnsi"/>
          <w:sz w:val="24"/>
          <w:szCs w:val="24"/>
        </w:rPr>
      </w:pPr>
      <w:r w:rsidRPr="006E3C70">
        <w:rPr>
          <w:rFonts w:cstheme="minorHAnsi"/>
          <w:sz w:val="24"/>
          <w:szCs w:val="24"/>
        </w:rPr>
        <w:t xml:space="preserve">Assess key impacts of adaptation impact on knowledge and capacity building, enhanced productivity and income, and preparedness to adapt and reduce climate risks. </w:t>
      </w:r>
    </w:p>
    <w:p w14:paraId="0E4C382B" w14:textId="0C5B92E0" w:rsidR="00760802" w:rsidRPr="006E3C70" w:rsidRDefault="00760802" w:rsidP="006E3C70">
      <w:pPr>
        <w:pStyle w:val="ListParagraph"/>
        <w:numPr>
          <w:ilvl w:val="0"/>
          <w:numId w:val="5"/>
        </w:numPr>
        <w:spacing w:after="0" w:line="276" w:lineRule="auto"/>
        <w:contextualSpacing w:val="0"/>
        <w:rPr>
          <w:rFonts w:cstheme="minorHAnsi"/>
          <w:sz w:val="24"/>
          <w:szCs w:val="24"/>
        </w:rPr>
      </w:pPr>
      <w:r w:rsidRPr="006E3C70">
        <w:rPr>
          <w:rFonts w:cstheme="minorHAnsi"/>
          <w:sz w:val="24"/>
          <w:szCs w:val="24"/>
        </w:rPr>
        <w:t xml:space="preserve">Identify key enabling factors, implementing challenges, gaps, and opportunities to enhance the integration of climate adaptation interventions in </w:t>
      </w:r>
      <w:r w:rsidR="006B0763" w:rsidRPr="006E3C70">
        <w:rPr>
          <w:rFonts w:eastAsia="Gill Sans MT" w:cstheme="minorHAnsi"/>
          <w:sz w:val="24"/>
          <w:szCs w:val="24"/>
        </w:rPr>
        <w:t>Lishe Endelevu</w:t>
      </w:r>
      <w:r w:rsidRPr="006E3C70">
        <w:rPr>
          <w:rFonts w:cstheme="minorHAnsi"/>
          <w:sz w:val="24"/>
          <w:szCs w:val="24"/>
        </w:rPr>
        <w:t xml:space="preserve">. </w:t>
      </w:r>
    </w:p>
    <w:p w14:paraId="1608CFC4" w14:textId="77777777" w:rsidR="006B0763" w:rsidRDefault="006B0763" w:rsidP="006E3C70">
      <w:pPr>
        <w:spacing w:after="0" w:line="276" w:lineRule="auto"/>
        <w:rPr>
          <w:rFonts w:cstheme="minorHAnsi"/>
          <w:b/>
          <w:bCs/>
          <w:sz w:val="24"/>
          <w:szCs w:val="24"/>
        </w:rPr>
      </w:pPr>
    </w:p>
    <w:p w14:paraId="11C3E1F6" w14:textId="301E50A6" w:rsidR="00760802" w:rsidRPr="006E3C70" w:rsidRDefault="00760802" w:rsidP="006E3C70">
      <w:pPr>
        <w:spacing w:after="0" w:line="276" w:lineRule="auto"/>
        <w:rPr>
          <w:rFonts w:cstheme="minorHAnsi"/>
          <w:b/>
          <w:bCs/>
          <w:sz w:val="24"/>
          <w:szCs w:val="24"/>
        </w:rPr>
      </w:pPr>
      <w:r w:rsidRPr="006E3C70">
        <w:rPr>
          <w:rFonts w:cstheme="minorHAnsi"/>
          <w:b/>
          <w:bCs/>
          <w:sz w:val="24"/>
          <w:szCs w:val="24"/>
        </w:rPr>
        <w:t xml:space="preserve">B. Key informant and beneficiary survey   </w:t>
      </w:r>
    </w:p>
    <w:p w14:paraId="22C05663" w14:textId="6B175569" w:rsidR="00760802" w:rsidRDefault="00760802" w:rsidP="006E3C70">
      <w:pPr>
        <w:spacing w:after="0" w:line="276" w:lineRule="auto"/>
        <w:rPr>
          <w:rFonts w:cstheme="minorHAnsi"/>
          <w:sz w:val="24"/>
          <w:szCs w:val="24"/>
        </w:rPr>
      </w:pPr>
      <w:r w:rsidRPr="006E3C70">
        <w:rPr>
          <w:rFonts w:cstheme="minorHAnsi"/>
          <w:sz w:val="24"/>
          <w:szCs w:val="24"/>
        </w:rPr>
        <w:t xml:space="preserve">Additional information, such as partner surveys, key informant interviews, and beneficiary surveys </w:t>
      </w:r>
      <w:r w:rsidR="00627E65" w:rsidRPr="006E3C70">
        <w:rPr>
          <w:rFonts w:cstheme="minorHAnsi"/>
          <w:sz w:val="24"/>
          <w:szCs w:val="24"/>
        </w:rPr>
        <w:t>should be collected</w:t>
      </w:r>
      <w:r w:rsidRPr="006E3C70">
        <w:rPr>
          <w:rFonts w:cstheme="minorHAnsi"/>
          <w:sz w:val="24"/>
          <w:szCs w:val="24"/>
        </w:rPr>
        <w:t xml:space="preserve"> to complement desk review and analysis. Partners, key informants, and beneficiaries </w:t>
      </w:r>
      <w:r w:rsidR="00627E65" w:rsidRPr="006E3C70">
        <w:rPr>
          <w:rFonts w:cstheme="minorHAnsi"/>
          <w:sz w:val="24"/>
          <w:szCs w:val="24"/>
        </w:rPr>
        <w:t>should</w:t>
      </w:r>
      <w:r w:rsidRPr="006E3C70">
        <w:rPr>
          <w:rFonts w:cstheme="minorHAnsi"/>
          <w:sz w:val="24"/>
          <w:szCs w:val="24"/>
        </w:rPr>
        <w:t xml:space="preserve"> be identified through desk review and consultation with the country office </w:t>
      </w:r>
      <w:r w:rsidR="00627E65" w:rsidRPr="006E3C70">
        <w:rPr>
          <w:rFonts w:cstheme="minorHAnsi"/>
          <w:sz w:val="24"/>
          <w:szCs w:val="24"/>
        </w:rPr>
        <w:t>team</w:t>
      </w:r>
      <w:r w:rsidRPr="006E3C70">
        <w:rPr>
          <w:rFonts w:cstheme="minorHAnsi"/>
          <w:sz w:val="24"/>
          <w:szCs w:val="24"/>
        </w:rPr>
        <w:t xml:space="preserve">.  A short questionnaire </w:t>
      </w:r>
      <w:r w:rsidR="00E847D6" w:rsidRPr="006E3C70">
        <w:rPr>
          <w:rFonts w:cstheme="minorHAnsi"/>
          <w:sz w:val="24"/>
          <w:szCs w:val="24"/>
        </w:rPr>
        <w:t>needs</w:t>
      </w:r>
      <w:r w:rsidRPr="006E3C70">
        <w:rPr>
          <w:rFonts w:cstheme="minorHAnsi"/>
          <w:sz w:val="24"/>
          <w:szCs w:val="24"/>
        </w:rPr>
        <w:t xml:space="preserve"> </w:t>
      </w:r>
      <w:r w:rsidR="00627E65" w:rsidRPr="006E3C70">
        <w:rPr>
          <w:rFonts w:cstheme="minorHAnsi"/>
          <w:sz w:val="24"/>
          <w:szCs w:val="24"/>
        </w:rPr>
        <w:t xml:space="preserve">to </w:t>
      </w:r>
      <w:r w:rsidRPr="006E3C70">
        <w:rPr>
          <w:rFonts w:cstheme="minorHAnsi"/>
          <w:sz w:val="24"/>
          <w:szCs w:val="24"/>
        </w:rPr>
        <w:t xml:space="preserve">be developed to collect information from the selected partners, key informants, and beneficiaries.  </w:t>
      </w:r>
    </w:p>
    <w:p w14:paraId="79349AB9" w14:textId="72209587" w:rsidR="006B0763" w:rsidRDefault="006B0763" w:rsidP="006E3C70">
      <w:pPr>
        <w:spacing w:after="0" w:line="276" w:lineRule="auto"/>
        <w:rPr>
          <w:rFonts w:cstheme="minorHAnsi"/>
          <w:sz w:val="24"/>
          <w:szCs w:val="24"/>
        </w:rPr>
      </w:pPr>
    </w:p>
    <w:p w14:paraId="671552A7" w14:textId="3810BF30" w:rsidR="006B0763" w:rsidRDefault="006B0763" w:rsidP="006E3C70">
      <w:pPr>
        <w:spacing w:after="0" w:line="276" w:lineRule="auto"/>
        <w:rPr>
          <w:rFonts w:cstheme="minorHAnsi"/>
          <w:sz w:val="24"/>
          <w:szCs w:val="24"/>
        </w:rPr>
      </w:pPr>
    </w:p>
    <w:p w14:paraId="75836B34" w14:textId="77777777" w:rsidR="006B0763" w:rsidRPr="006E3C70" w:rsidRDefault="006B0763" w:rsidP="006E3C70">
      <w:pPr>
        <w:spacing w:after="0" w:line="276" w:lineRule="auto"/>
        <w:rPr>
          <w:rFonts w:cstheme="minorHAnsi"/>
          <w:sz w:val="24"/>
          <w:szCs w:val="24"/>
        </w:rPr>
      </w:pPr>
    </w:p>
    <w:p w14:paraId="7FCD4B00" w14:textId="0F35DC9B" w:rsidR="00760802" w:rsidRPr="006E3C70" w:rsidRDefault="00760802" w:rsidP="006E3C70">
      <w:pPr>
        <w:spacing w:after="0" w:line="276" w:lineRule="auto"/>
        <w:rPr>
          <w:rFonts w:cstheme="minorHAnsi"/>
          <w:sz w:val="24"/>
          <w:szCs w:val="24"/>
        </w:rPr>
      </w:pPr>
      <w:r w:rsidRPr="006E3C70">
        <w:rPr>
          <w:rFonts w:cstheme="minorHAnsi"/>
          <w:sz w:val="24"/>
          <w:szCs w:val="24"/>
        </w:rPr>
        <w:lastRenderedPageBreak/>
        <w:t>Table 1: Key evaluation questions for climate change adaptation efforts</w:t>
      </w:r>
      <w:r w:rsidR="00016E28">
        <w:rPr>
          <w:rFonts w:cstheme="minorHAnsi"/>
          <w:sz w:val="24"/>
          <w:szCs w:val="24"/>
        </w:rPr>
        <w:t xml:space="preserve"> in </w:t>
      </w:r>
      <w:r w:rsidR="00016E28" w:rsidRPr="006E3C70">
        <w:rPr>
          <w:rFonts w:eastAsia="Gill Sans MT" w:cstheme="minorHAnsi"/>
          <w:sz w:val="24"/>
          <w:szCs w:val="24"/>
        </w:rPr>
        <w:t>Lishe Endelevu</w:t>
      </w:r>
      <w:r w:rsidRPr="006E3C70">
        <w:rPr>
          <w:rFonts w:cstheme="minorHAnsi"/>
          <w:sz w:val="24"/>
          <w:szCs w:val="24"/>
        </w:rPr>
        <w:t xml:space="preserve"> </w:t>
      </w:r>
    </w:p>
    <w:tbl>
      <w:tblPr>
        <w:tblStyle w:val="GridTable4-Accent1"/>
        <w:tblW w:w="9481" w:type="dxa"/>
        <w:tblLayout w:type="fixed"/>
        <w:tblLook w:val="06A0" w:firstRow="1" w:lastRow="0" w:firstColumn="1" w:lastColumn="0" w:noHBand="1" w:noVBand="1"/>
      </w:tblPr>
      <w:tblGrid>
        <w:gridCol w:w="1345"/>
        <w:gridCol w:w="4500"/>
        <w:gridCol w:w="1800"/>
        <w:gridCol w:w="1836"/>
      </w:tblGrid>
      <w:tr w:rsidR="00760802" w:rsidRPr="006E3C70" w14:paraId="06C25211" w14:textId="77777777" w:rsidTr="00662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1C337F0" w14:textId="77777777" w:rsidR="00760802" w:rsidRPr="006E3C70" w:rsidRDefault="00760802" w:rsidP="006E3C70">
            <w:pPr>
              <w:spacing w:line="276" w:lineRule="auto"/>
              <w:rPr>
                <w:rFonts w:eastAsia="Gill Sans Infant Std" w:cstheme="minorHAnsi"/>
                <w:b w:val="0"/>
                <w:bCs w:val="0"/>
                <w:color w:val="auto"/>
                <w:sz w:val="20"/>
                <w:szCs w:val="20"/>
              </w:rPr>
            </w:pPr>
            <w:r w:rsidRPr="006E3C70">
              <w:rPr>
                <w:rFonts w:eastAsia="Gill Sans Infant Std" w:cstheme="minorHAnsi"/>
                <w:color w:val="auto"/>
                <w:sz w:val="20"/>
                <w:szCs w:val="20"/>
              </w:rPr>
              <w:t>Level</w:t>
            </w:r>
          </w:p>
        </w:tc>
        <w:tc>
          <w:tcPr>
            <w:tcW w:w="4500" w:type="dxa"/>
          </w:tcPr>
          <w:p w14:paraId="3945AC42" w14:textId="77777777" w:rsidR="00760802" w:rsidRPr="006E3C70" w:rsidRDefault="00760802" w:rsidP="006E3C7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Gill Sans Infant Std" w:cstheme="minorHAnsi"/>
                <w:b w:val="0"/>
                <w:bCs w:val="0"/>
                <w:color w:val="auto"/>
                <w:sz w:val="20"/>
                <w:szCs w:val="20"/>
              </w:rPr>
            </w:pPr>
            <w:r w:rsidRPr="006E3C70">
              <w:rPr>
                <w:rFonts w:eastAsia="Gill Sans Infant Std" w:cstheme="minorHAnsi"/>
                <w:color w:val="auto"/>
                <w:sz w:val="20"/>
                <w:szCs w:val="20"/>
              </w:rPr>
              <w:t>Evaluation Questions</w:t>
            </w:r>
          </w:p>
        </w:tc>
        <w:tc>
          <w:tcPr>
            <w:tcW w:w="1800" w:type="dxa"/>
          </w:tcPr>
          <w:p w14:paraId="40EE310D" w14:textId="77777777" w:rsidR="00760802" w:rsidRPr="006E3C70" w:rsidRDefault="00760802" w:rsidP="006E3C70">
            <w:pPr>
              <w:spacing w:line="276" w:lineRule="auto"/>
              <w:cnfStyle w:val="100000000000" w:firstRow="1" w:lastRow="0" w:firstColumn="0" w:lastColumn="0" w:oddVBand="0" w:evenVBand="0" w:oddHBand="0" w:evenHBand="0" w:firstRowFirstColumn="0" w:firstRowLastColumn="0" w:lastRowFirstColumn="0" w:lastRowLastColumn="0"/>
              <w:rPr>
                <w:rFonts w:eastAsia="Gill Sans Infant Std" w:cstheme="minorHAnsi"/>
                <w:b w:val="0"/>
                <w:bCs w:val="0"/>
                <w:color w:val="auto"/>
                <w:sz w:val="20"/>
                <w:szCs w:val="20"/>
              </w:rPr>
            </w:pPr>
            <w:r w:rsidRPr="006E3C70">
              <w:rPr>
                <w:rFonts w:eastAsia="Gill Sans Infant Std" w:cstheme="minorHAnsi"/>
                <w:color w:val="auto"/>
                <w:sz w:val="20"/>
                <w:szCs w:val="20"/>
              </w:rPr>
              <w:t>Methods</w:t>
            </w:r>
          </w:p>
        </w:tc>
        <w:tc>
          <w:tcPr>
            <w:tcW w:w="1836" w:type="dxa"/>
          </w:tcPr>
          <w:p w14:paraId="0CDC9EBC" w14:textId="77777777" w:rsidR="00760802" w:rsidRPr="006E3C70" w:rsidRDefault="00760802" w:rsidP="006E3C70">
            <w:pPr>
              <w:spacing w:line="276" w:lineRule="auto"/>
              <w:cnfStyle w:val="100000000000" w:firstRow="1" w:lastRow="0" w:firstColumn="0" w:lastColumn="0" w:oddVBand="0" w:evenVBand="0" w:oddHBand="0" w:evenHBand="0" w:firstRowFirstColumn="0" w:firstRowLastColumn="0" w:lastRowFirstColumn="0" w:lastRowLastColumn="0"/>
              <w:rPr>
                <w:rFonts w:eastAsia="Gill Sans Infant Std" w:cstheme="minorHAnsi"/>
                <w:b w:val="0"/>
                <w:bCs w:val="0"/>
                <w:color w:val="auto"/>
                <w:sz w:val="20"/>
                <w:szCs w:val="20"/>
              </w:rPr>
            </w:pPr>
            <w:r w:rsidRPr="006E3C70">
              <w:rPr>
                <w:rFonts w:eastAsia="Gill Sans Infant Std" w:cstheme="minorHAnsi"/>
                <w:color w:val="auto"/>
                <w:sz w:val="20"/>
                <w:szCs w:val="20"/>
              </w:rPr>
              <w:t>Data sources</w:t>
            </w:r>
          </w:p>
        </w:tc>
      </w:tr>
      <w:tr w:rsidR="00760802" w:rsidRPr="006E3C70" w14:paraId="260312BE" w14:textId="77777777" w:rsidTr="006626AA">
        <w:tc>
          <w:tcPr>
            <w:cnfStyle w:val="001000000000" w:firstRow="0" w:lastRow="0" w:firstColumn="1" w:lastColumn="0" w:oddVBand="0" w:evenVBand="0" w:oddHBand="0" w:evenHBand="0" w:firstRowFirstColumn="0" w:firstRowLastColumn="0" w:lastRowFirstColumn="0" w:lastRowLastColumn="0"/>
            <w:tcW w:w="1345" w:type="dxa"/>
            <w:vMerge w:val="restart"/>
          </w:tcPr>
          <w:p w14:paraId="67D2F964" w14:textId="77777777" w:rsidR="00760802" w:rsidRPr="006E3C70" w:rsidRDefault="00760802" w:rsidP="006E3C70">
            <w:pPr>
              <w:spacing w:line="276" w:lineRule="auto"/>
              <w:rPr>
                <w:rFonts w:eastAsia="Gill Sans Infant Std" w:cstheme="minorHAnsi"/>
                <w:b w:val="0"/>
                <w:bCs w:val="0"/>
                <w:sz w:val="20"/>
                <w:szCs w:val="20"/>
              </w:rPr>
            </w:pPr>
            <w:r w:rsidRPr="006E3C70">
              <w:rPr>
                <w:rFonts w:eastAsia="Gill Sans Infant Std" w:cstheme="minorHAnsi"/>
                <w:sz w:val="20"/>
                <w:szCs w:val="20"/>
              </w:rPr>
              <w:t>Performance level</w:t>
            </w:r>
          </w:p>
        </w:tc>
        <w:tc>
          <w:tcPr>
            <w:tcW w:w="4500" w:type="dxa"/>
          </w:tcPr>
          <w:p w14:paraId="23B65968" w14:textId="77777777" w:rsidR="00760802" w:rsidRPr="006E3C70" w:rsidRDefault="00760802" w:rsidP="006E3C70">
            <w:pPr>
              <w:pStyle w:val="ListParagraph"/>
              <w:numPr>
                <w:ilvl w:val="0"/>
                <w:numId w:val="7"/>
              </w:numPr>
              <w:spacing w:line="276" w:lineRule="auto"/>
              <w:ind w:left="346"/>
              <w:cnfStyle w:val="000000000000" w:firstRow="0" w:lastRow="0" w:firstColumn="0" w:lastColumn="0" w:oddVBand="0" w:evenVBand="0" w:oddHBand="0" w:evenHBand="0" w:firstRowFirstColumn="0" w:firstRowLastColumn="0" w:lastRowFirstColumn="0" w:lastRowLastColumn="0"/>
              <w:rPr>
                <w:rFonts w:eastAsia="Gill Sans Infant Std" w:cstheme="minorHAnsi"/>
                <w:b/>
                <w:bCs/>
                <w:sz w:val="20"/>
                <w:szCs w:val="20"/>
              </w:rPr>
            </w:pPr>
            <w:r w:rsidRPr="006E3C70">
              <w:rPr>
                <w:rFonts w:eastAsia="Gill Sans Infant Std" w:cstheme="minorHAnsi"/>
                <w:sz w:val="20"/>
                <w:szCs w:val="20"/>
              </w:rPr>
              <w:t>What evidence is there that influences local ownership and continuation of activities/actions after the completion of climate adaptation interventions</w:t>
            </w:r>
          </w:p>
        </w:tc>
        <w:tc>
          <w:tcPr>
            <w:tcW w:w="1800" w:type="dxa"/>
            <w:vMerge w:val="restart"/>
          </w:tcPr>
          <w:p w14:paraId="2590A9B9"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sz w:val="20"/>
                <w:szCs w:val="20"/>
              </w:rPr>
            </w:pPr>
            <w:r w:rsidRPr="006E3C70">
              <w:rPr>
                <w:rFonts w:eastAsia="Gill Sans Infant Std" w:cstheme="minorHAnsi"/>
                <w:sz w:val="20"/>
                <w:szCs w:val="20"/>
              </w:rPr>
              <w:t>Analysis of quantitative and qualitative data</w:t>
            </w:r>
          </w:p>
          <w:p w14:paraId="39CBE7DD"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sz w:val="20"/>
                <w:szCs w:val="20"/>
              </w:rPr>
            </w:pPr>
            <w:r w:rsidRPr="006E3C70">
              <w:rPr>
                <w:rFonts w:eastAsia="Gill Sans Infant Std" w:cstheme="minorHAnsi"/>
                <w:sz w:val="20"/>
                <w:szCs w:val="20"/>
              </w:rPr>
              <w:t xml:space="preserve"> </w:t>
            </w:r>
          </w:p>
          <w:p w14:paraId="5E8AD1F7"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sz w:val="20"/>
                <w:szCs w:val="20"/>
              </w:rPr>
            </w:pPr>
          </w:p>
          <w:p w14:paraId="0EA5D1EA"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b/>
                <w:bCs/>
                <w:sz w:val="20"/>
                <w:szCs w:val="20"/>
              </w:rPr>
            </w:pPr>
            <w:r w:rsidRPr="006E3C70">
              <w:rPr>
                <w:rFonts w:eastAsia="Gill Sans Infant Std" w:cstheme="minorHAnsi"/>
                <w:sz w:val="20"/>
                <w:szCs w:val="20"/>
              </w:rPr>
              <w:t>Critical Interpretive Synthesis</w:t>
            </w:r>
          </w:p>
        </w:tc>
        <w:tc>
          <w:tcPr>
            <w:tcW w:w="1836" w:type="dxa"/>
            <w:vMerge w:val="restart"/>
          </w:tcPr>
          <w:p w14:paraId="0A72C80A"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sz w:val="20"/>
                <w:szCs w:val="20"/>
              </w:rPr>
            </w:pPr>
            <w:r w:rsidRPr="006E3C70">
              <w:rPr>
                <w:rFonts w:eastAsia="Gill Sans Infant Std" w:cstheme="minorHAnsi"/>
                <w:sz w:val="20"/>
                <w:szCs w:val="20"/>
              </w:rPr>
              <w:t>Annual reports and performance/impact evaluation reports</w:t>
            </w:r>
          </w:p>
          <w:p w14:paraId="7070ECCA"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sz w:val="20"/>
                <w:szCs w:val="20"/>
              </w:rPr>
            </w:pPr>
            <w:r w:rsidRPr="006E3C70">
              <w:rPr>
                <w:rFonts w:eastAsia="Gill Sans Infant Std" w:cstheme="minorHAnsi"/>
                <w:sz w:val="20"/>
                <w:szCs w:val="20"/>
              </w:rPr>
              <w:t xml:space="preserve"> </w:t>
            </w:r>
          </w:p>
          <w:p w14:paraId="3738F453"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sz w:val="20"/>
                <w:szCs w:val="20"/>
              </w:rPr>
            </w:pPr>
            <w:r w:rsidRPr="006E3C70">
              <w:rPr>
                <w:rFonts w:eastAsia="Gill Sans Infant Std" w:cstheme="minorHAnsi"/>
                <w:sz w:val="20"/>
                <w:szCs w:val="20"/>
              </w:rPr>
              <w:t xml:space="preserve">Existing databases and data collected from partners, key informants, and beneficiaries’ surveys </w:t>
            </w:r>
          </w:p>
          <w:p w14:paraId="1F01E035"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b/>
                <w:bCs/>
                <w:sz w:val="20"/>
                <w:szCs w:val="20"/>
              </w:rPr>
            </w:pPr>
            <w:r w:rsidRPr="006E3C70">
              <w:rPr>
                <w:rFonts w:eastAsia="Gill Sans Infant Std" w:cstheme="minorHAnsi"/>
                <w:sz w:val="20"/>
                <w:szCs w:val="20"/>
              </w:rPr>
              <w:t xml:space="preserve"> </w:t>
            </w:r>
          </w:p>
        </w:tc>
      </w:tr>
      <w:tr w:rsidR="00760802" w:rsidRPr="006E3C70" w14:paraId="5A6D89A2" w14:textId="77777777" w:rsidTr="006626AA">
        <w:tc>
          <w:tcPr>
            <w:cnfStyle w:val="001000000000" w:firstRow="0" w:lastRow="0" w:firstColumn="1" w:lastColumn="0" w:oddVBand="0" w:evenVBand="0" w:oddHBand="0" w:evenHBand="0" w:firstRowFirstColumn="0" w:firstRowLastColumn="0" w:lastRowFirstColumn="0" w:lastRowLastColumn="0"/>
            <w:tcW w:w="1345" w:type="dxa"/>
            <w:vMerge/>
          </w:tcPr>
          <w:p w14:paraId="5EF2D36C" w14:textId="77777777" w:rsidR="00760802" w:rsidRPr="006E3C70" w:rsidRDefault="00760802" w:rsidP="006E3C70">
            <w:pPr>
              <w:spacing w:line="276" w:lineRule="auto"/>
              <w:rPr>
                <w:rFonts w:eastAsia="Gill Sans Infant Std" w:cstheme="minorHAnsi"/>
                <w:b w:val="0"/>
                <w:bCs w:val="0"/>
                <w:sz w:val="20"/>
                <w:szCs w:val="20"/>
              </w:rPr>
            </w:pPr>
          </w:p>
        </w:tc>
        <w:tc>
          <w:tcPr>
            <w:tcW w:w="4500" w:type="dxa"/>
          </w:tcPr>
          <w:p w14:paraId="24A5AC41" w14:textId="77777777" w:rsidR="00760802" w:rsidRPr="006E3C70" w:rsidRDefault="00760802" w:rsidP="006E3C70">
            <w:pPr>
              <w:pStyle w:val="ListParagraph"/>
              <w:numPr>
                <w:ilvl w:val="0"/>
                <w:numId w:val="7"/>
              </w:numPr>
              <w:spacing w:line="276" w:lineRule="auto"/>
              <w:ind w:left="346"/>
              <w:cnfStyle w:val="000000000000" w:firstRow="0" w:lastRow="0" w:firstColumn="0" w:lastColumn="0" w:oddVBand="0" w:evenVBand="0" w:oddHBand="0" w:evenHBand="0" w:firstRowFirstColumn="0" w:firstRowLastColumn="0" w:lastRowFirstColumn="0" w:lastRowLastColumn="0"/>
              <w:rPr>
                <w:rFonts w:eastAsia="Gill Sans Infant Std" w:cstheme="minorHAnsi"/>
                <w:b/>
                <w:bCs/>
                <w:sz w:val="20"/>
                <w:szCs w:val="20"/>
              </w:rPr>
            </w:pPr>
            <w:r w:rsidRPr="006E3C70">
              <w:rPr>
                <w:rFonts w:eastAsia="Gill Sans Infant Std" w:cstheme="minorHAnsi"/>
                <w:sz w:val="20"/>
                <w:szCs w:val="20"/>
              </w:rPr>
              <w:t>What is the existing evidence for success, implementation challenges, and gaps in approaches in climate adaptation interventions</w:t>
            </w:r>
          </w:p>
        </w:tc>
        <w:tc>
          <w:tcPr>
            <w:tcW w:w="1800" w:type="dxa"/>
            <w:vMerge/>
          </w:tcPr>
          <w:p w14:paraId="02CE012D"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b/>
                <w:bCs/>
                <w:sz w:val="20"/>
                <w:szCs w:val="20"/>
              </w:rPr>
            </w:pPr>
          </w:p>
        </w:tc>
        <w:tc>
          <w:tcPr>
            <w:tcW w:w="1836" w:type="dxa"/>
            <w:vMerge/>
          </w:tcPr>
          <w:p w14:paraId="340FBA5E"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b/>
                <w:bCs/>
                <w:sz w:val="20"/>
                <w:szCs w:val="20"/>
              </w:rPr>
            </w:pPr>
          </w:p>
        </w:tc>
      </w:tr>
      <w:tr w:rsidR="00760802" w:rsidRPr="006E3C70" w14:paraId="62CA06F7" w14:textId="77777777" w:rsidTr="006626AA">
        <w:tc>
          <w:tcPr>
            <w:cnfStyle w:val="001000000000" w:firstRow="0" w:lastRow="0" w:firstColumn="1" w:lastColumn="0" w:oddVBand="0" w:evenVBand="0" w:oddHBand="0" w:evenHBand="0" w:firstRowFirstColumn="0" w:firstRowLastColumn="0" w:lastRowFirstColumn="0" w:lastRowLastColumn="0"/>
            <w:tcW w:w="1345" w:type="dxa"/>
            <w:vMerge/>
          </w:tcPr>
          <w:p w14:paraId="3745E265" w14:textId="77777777" w:rsidR="00760802" w:rsidRPr="006E3C70" w:rsidRDefault="00760802" w:rsidP="006E3C70">
            <w:pPr>
              <w:spacing w:line="276" w:lineRule="auto"/>
              <w:rPr>
                <w:rFonts w:eastAsia="Gill Sans Infant Std" w:cstheme="minorHAnsi"/>
                <w:b w:val="0"/>
                <w:bCs w:val="0"/>
                <w:sz w:val="20"/>
                <w:szCs w:val="20"/>
              </w:rPr>
            </w:pPr>
          </w:p>
        </w:tc>
        <w:tc>
          <w:tcPr>
            <w:tcW w:w="4500" w:type="dxa"/>
          </w:tcPr>
          <w:p w14:paraId="0F0B0EAB" w14:textId="77777777" w:rsidR="00760802" w:rsidRPr="006E3C70" w:rsidRDefault="00760802" w:rsidP="006E3C70">
            <w:pPr>
              <w:pStyle w:val="ListParagraph"/>
              <w:numPr>
                <w:ilvl w:val="0"/>
                <w:numId w:val="7"/>
              </w:numPr>
              <w:spacing w:line="276" w:lineRule="auto"/>
              <w:ind w:left="346"/>
              <w:cnfStyle w:val="000000000000" w:firstRow="0" w:lastRow="0" w:firstColumn="0" w:lastColumn="0" w:oddVBand="0" w:evenVBand="0" w:oddHBand="0" w:evenHBand="0" w:firstRowFirstColumn="0" w:firstRowLastColumn="0" w:lastRowFirstColumn="0" w:lastRowLastColumn="0"/>
              <w:rPr>
                <w:rFonts w:eastAsia="Gill Sans Infant Std" w:cstheme="minorHAnsi"/>
                <w:b/>
                <w:bCs/>
                <w:sz w:val="20"/>
                <w:szCs w:val="20"/>
              </w:rPr>
            </w:pPr>
            <w:r w:rsidRPr="006E3C70">
              <w:rPr>
                <w:rFonts w:eastAsia="Gill Sans Infant Std" w:cstheme="minorHAnsi"/>
                <w:sz w:val="20"/>
                <w:szCs w:val="20"/>
              </w:rPr>
              <w:t xml:space="preserve">What evidence is there on strengthened knowledge, capacity, and preparedness at household, community, and institutional levels </w:t>
            </w:r>
          </w:p>
        </w:tc>
        <w:tc>
          <w:tcPr>
            <w:tcW w:w="1800" w:type="dxa"/>
            <w:vMerge/>
          </w:tcPr>
          <w:p w14:paraId="363E5EA9"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b/>
                <w:bCs/>
                <w:sz w:val="20"/>
                <w:szCs w:val="20"/>
              </w:rPr>
            </w:pPr>
          </w:p>
        </w:tc>
        <w:tc>
          <w:tcPr>
            <w:tcW w:w="1836" w:type="dxa"/>
            <w:vMerge/>
          </w:tcPr>
          <w:p w14:paraId="11C23723"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b/>
                <w:bCs/>
                <w:sz w:val="20"/>
                <w:szCs w:val="20"/>
              </w:rPr>
            </w:pPr>
          </w:p>
        </w:tc>
      </w:tr>
      <w:tr w:rsidR="00760802" w:rsidRPr="006E3C70" w14:paraId="7C7AD912" w14:textId="77777777" w:rsidTr="006626AA">
        <w:tc>
          <w:tcPr>
            <w:cnfStyle w:val="001000000000" w:firstRow="0" w:lastRow="0" w:firstColumn="1" w:lastColumn="0" w:oddVBand="0" w:evenVBand="0" w:oddHBand="0" w:evenHBand="0" w:firstRowFirstColumn="0" w:firstRowLastColumn="0" w:lastRowFirstColumn="0" w:lastRowLastColumn="0"/>
            <w:tcW w:w="1345" w:type="dxa"/>
            <w:vMerge/>
          </w:tcPr>
          <w:p w14:paraId="7B7A15FB" w14:textId="77777777" w:rsidR="00760802" w:rsidRPr="006E3C70" w:rsidRDefault="00760802" w:rsidP="006E3C70">
            <w:pPr>
              <w:spacing w:line="276" w:lineRule="auto"/>
              <w:rPr>
                <w:rFonts w:eastAsia="Gill Sans Infant Std" w:cstheme="minorHAnsi"/>
                <w:b w:val="0"/>
                <w:bCs w:val="0"/>
                <w:sz w:val="20"/>
                <w:szCs w:val="20"/>
              </w:rPr>
            </w:pPr>
          </w:p>
        </w:tc>
        <w:tc>
          <w:tcPr>
            <w:tcW w:w="4500" w:type="dxa"/>
          </w:tcPr>
          <w:p w14:paraId="15AA3FBD" w14:textId="77777777" w:rsidR="00760802" w:rsidRPr="006E3C70" w:rsidRDefault="00760802" w:rsidP="006E3C70">
            <w:pPr>
              <w:pStyle w:val="ListParagraph"/>
              <w:numPr>
                <w:ilvl w:val="0"/>
                <w:numId w:val="7"/>
              </w:numPr>
              <w:spacing w:line="276" w:lineRule="auto"/>
              <w:ind w:left="346"/>
              <w:cnfStyle w:val="000000000000" w:firstRow="0" w:lastRow="0" w:firstColumn="0" w:lastColumn="0" w:oddVBand="0" w:evenVBand="0" w:oddHBand="0" w:evenHBand="0" w:firstRowFirstColumn="0" w:firstRowLastColumn="0" w:lastRowFirstColumn="0" w:lastRowLastColumn="0"/>
              <w:rPr>
                <w:rFonts w:eastAsia="Gill Sans Infant Std" w:cstheme="minorHAnsi"/>
                <w:b/>
                <w:bCs/>
                <w:sz w:val="20"/>
                <w:szCs w:val="20"/>
              </w:rPr>
            </w:pPr>
            <w:r w:rsidRPr="006E3C70">
              <w:rPr>
                <w:rFonts w:eastAsia="Gill Sans Infant Std" w:cstheme="minorHAnsi"/>
                <w:sz w:val="20"/>
                <w:szCs w:val="20"/>
              </w:rPr>
              <w:t>What evidence is there on gender and other social inclusion factors being integrated into climate adaptation interventions</w:t>
            </w:r>
          </w:p>
        </w:tc>
        <w:tc>
          <w:tcPr>
            <w:tcW w:w="1800" w:type="dxa"/>
            <w:vMerge/>
          </w:tcPr>
          <w:p w14:paraId="3F5BEB62"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b/>
                <w:bCs/>
                <w:sz w:val="20"/>
                <w:szCs w:val="20"/>
              </w:rPr>
            </w:pPr>
          </w:p>
        </w:tc>
        <w:tc>
          <w:tcPr>
            <w:tcW w:w="1836" w:type="dxa"/>
            <w:vMerge/>
          </w:tcPr>
          <w:p w14:paraId="4461F182"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b/>
                <w:bCs/>
                <w:sz w:val="20"/>
                <w:szCs w:val="20"/>
              </w:rPr>
            </w:pPr>
          </w:p>
        </w:tc>
      </w:tr>
      <w:tr w:rsidR="00760802" w:rsidRPr="006E3C70" w14:paraId="685AFE60" w14:textId="77777777" w:rsidTr="006626AA">
        <w:tc>
          <w:tcPr>
            <w:cnfStyle w:val="001000000000" w:firstRow="0" w:lastRow="0" w:firstColumn="1" w:lastColumn="0" w:oddVBand="0" w:evenVBand="0" w:oddHBand="0" w:evenHBand="0" w:firstRowFirstColumn="0" w:firstRowLastColumn="0" w:lastRowFirstColumn="0" w:lastRowLastColumn="0"/>
            <w:tcW w:w="1345" w:type="dxa"/>
            <w:vMerge/>
          </w:tcPr>
          <w:p w14:paraId="0FE6875F" w14:textId="77777777" w:rsidR="00760802" w:rsidRPr="006E3C70" w:rsidRDefault="00760802" w:rsidP="006E3C70">
            <w:pPr>
              <w:spacing w:line="276" w:lineRule="auto"/>
              <w:rPr>
                <w:rFonts w:eastAsia="Gill Sans Infant Std" w:cstheme="minorHAnsi"/>
                <w:b w:val="0"/>
                <w:bCs w:val="0"/>
                <w:sz w:val="20"/>
                <w:szCs w:val="20"/>
              </w:rPr>
            </w:pPr>
          </w:p>
        </w:tc>
        <w:tc>
          <w:tcPr>
            <w:tcW w:w="4500" w:type="dxa"/>
          </w:tcPr>
          <w:p w14:paraId="19E3F67F" w14:textId="77777777" w:rsidR="00760802" w:rsidRPr="006E3C70" w:rsidRDefault="00760802" w:rsidP="006E3C70">
            <w:pPr>
              <w:pStyle w:val="ListParagraph"/>
              <w:numPr>
                <w:ilvl w:val="0"/>
                <w:numId w:val="7"/>
              </w:numPr>
              <w:spacing w:line="276" w:lineRule="auto"/>
              <w:ind w:left="346"/>
              <w:cnfStyle w:val="000000000000" w:firstRow="0" w:lastRow="0" w:firstColumn="0" w:lastColumn="0" w:oddVBand="0" w:evenVBand="0" w:oddHBand="0" w:evenHBand="0" w:firstRowFirstColumn="0" w:firstRowLastColumn="0" w:lastRowFirstColumn="0" w:lastRowLastColumn="0"/>
              <w:rPr>
                <w:rFonts w:eastAsia="Gill Sans Infant Std" w:cstheme="minorHAnsi"/>
                <w:b/>
                <w:bCs/>
                <w:sz w:val="20"/>
                <w:szCs w:val="20"/>
              </w:rPr>
            </w:pPr>
            <w:r w:rsidRPr="006E3C70">
              <w:rPr>
                <w:rFonts w:eastAsia="Gill Sans Infant Std" w:cstheme="minorHAnsi"/>
                <w:sz w:val="20"/>
                <w:szCs w:val="20"/>
              </w:rPr>
              <w:t>What evidence is there on climate adaptation interventions integrated with climate change and variability</w:t>
            </w:r>
          </w:p>
        </w:tc>
        <w:tc>
          <w:tcPr>
            <w:tcW w:w="1800" w:type="dxa"/>
            <w:vMerge/>
          </w:tcPr>
          <w:p w14:paraId="59741557"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b/>
                <w:bCs/>
                <w:sz w:val="20"/>
                <w:szCs w:val="20"/>
              </w:rPr>
            </w:pPr>
          </w:p>
        </w:tc>
        <w:tc>
          <w:tcPr>
            <w:tcW w:w="1836" w:type="dxa"/>
            <w:vMerge/>
          </w:tcPr>
          <w:p w14:paraId="55639514"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b/>
                <w:bCs/>
                <w:sz w:val="20"/>
                <w:szCs w:val="20"/>
              </w:rPr>
            </w:pPr>
          </w:p>
        </w:tc>
      </w:tr>
      <w:tr w:rsidR="00760802" w:rsidRPr="006E3C70" w14:paraId="096CF4C6" w14:textId="77777777" w:rsidTr="006626AA">
        <w:trPr>
          <w:trHeight w:val="368"/>
        </w:trPr>
        <w:tc>
          <w:tcPr>
            <w:cnfStyle w:val="001000000000" w:firstRow="0" w:lastRow="0" w:firstColumn="1" w:lastColumn="0" w:oddVBand="0" w:evenVBand="0" w:oddHBand="0" w:evenHBand="0" w:firstRowFirstColumn="0" w:firstRowLastColumn="0" w:lastRowFirstColumn="0" w:lastRowLastColumn="0"/>
            <w:tcW w:w="1345" w:type="dxa"/>
            <w:vMerge w:val="restart"/>
          </w:tcPr>
          <w:p w14:paraId="05DD881D" w14:textId="77777777" w:rsidR="00760802" w:rsidRPr="006E3C70" w:rsidRDefault="00760802" w:rsidP="006E3C70">
            <w:pPr>
              <w:spacing w:line="276" w:lineRule="auto"/>
              <w:rPr>
                <w:rFonts w:eastAsia="Gill Sans Infant Std" w:cstheme="minorHAnsi"/>
                <w:b w:val="0"/>
                <w:bCs w:val="0"/>
                <w:sz w:val="20"/>
                <w:szCs w:val="20"/>
              </w:rPr>
            </w:pPr>
            <w:r w:rsidRPr="006E3C70">
              <w:rPr>
                <w:rFonts w:eastAsia="Gill Sans Infant Std" w:cstheme="minorHAnsi"/>
                <w:sz w:val="20"/>
                <w:szCs w:val="20"/>
              </w:rPr>
              <w:t xml:space="preserve"> </w:t>
            </w:r>
          </w:p>
          <w:p w14:paraId="1EBB6ED8" w14:textId="77777777" w:rsidR="00760802" w:rsidRPr="006E3C70" w:rsidRDefault="00760802" w:rsidP="006E3C70">
            <w:pPr>
              <w:spacing w:line="276" w:lineRule="auto"/>
              <w:rPr>
                <w:rFonts w:eastAsia="Gill Sans Infant Std" w:cstheme="minorHAnsi"/>
                <w:b w:val="0"/>
                <w:bCs w:val="0"/>
                <w:sz w:val="20"/>
                <w:szCs w:val="20"/>
              </w:rPr>
            </w:pPr>
            <w:r w:rsidRPr="006E3C70">
              <w:rPr>
                <w:rFonts w:eastAsia="Gill Sans Infant Std" w:cstheme="minorHAnsi"/>
                <w:sz w:val="20"/>
                <w:szCs w:val="20"/>
              </w:rPr>
              <w:t xml:space="preserve"> </w:t>
            </w:r>
          </w:p>
          <w:p w14:paraId="179811B0" w14:textId="77777777" w:rsidR="00760802" w:rsidRPr="006E3C70" w:rsidRDefault="00760802" w:rsidP="006E3C70">
            <w:pPr>
              <w:spacing w:line="276" w:lineRule="auto"/>
              <w:rPr>
                <w:rFonts w:eastAsia="Gill Sans Infant Std" w:cstheme="minorHAnsi"/>
                <w:b w:val="0"/>
                <w:bCs w:val="0"/>
                <w:sz w:val="20"/>
                <w:szCs w:val="20"/>
              </w:rPr>
            </w:pPr>
            <w:r w:rsidRPr="006E3C70">
              <w:rPr>
                <w:rFonts w:eastAsia="Gill Sans Infant Std" w:cstheme="minorHAnsi"/>
                <w:sz w:val="20"/>
                <w:szCs w:val="20"/>
              </w:rPr>
              <w:t xml:space="preserve"> </w:t>
            </w:r>
          </w:p>
          <w:p w14:paraId="3FEB4FC6" w14:textId="77777777" w:rsidR="00760802" w:rsidRPr="006E3C70" w:rsidRDefault="00760802" w:rsidP="006E3C70">
            <w:pPr>
              <w:spacing w:line="276" w:lineRule="auto"/>
              <w:rPr>
                <w:rFonts w:eastAsia="Gill Sans Infant Std" w:cstheme="minorHAnsi"/>
                <w:b w:val="0"/>
                <w:bCs w:val="0"/>
                <w:sz w:val="20"/>
                <w:szCs w:val="20"/>
              </w:rPr>
            </w:pPr>
            <w:r w:rsidRPr="006E3C70">
              <w:rPr>
                <w:rFonts w:eastAsia="Gill Sans Infant Std" w:cstheme="minorHAnsi"/>
                <w:sz w:val="20"/>
                <w:szCs w:val="20"/>
              </w:rPr>
              <w:t xml:space="preserve"> </w:t>
            </w:r>
          </w:p>
          <w:p w14:paraId="416039AB" w14:textId="77777777" w:rsidR="00760802" w:rsidRPr="006E3C70" w:rsidRDefault="00760802" w:rsidP="006E3C70">
            <w:pPr>
              <w:spacing w:line="276" w:lineRule="auto"/>
              <w:rPr>
                <w:rFonts w:eastAsia="Gill Sans Infant Std" w:cstheme="minorHAnsi"/>
                <w:b w:val="0"/>
                <w:bCs w:val="0"/>
                <w:sz w:val="20"/>
                <w:szCs w:val="20"/>
              </w:rPr>
            </w:pPr>
            <w:r w:rsidRPr="006E3C70">
              <w:rPr>
                <w:rFonts w:eastAsia="Gill Sans Infant Std" w:cstheme="minorHAnsi"/>
                <w:sz w:val="20"/>
                <w:szCs w:val="20"/>
              </w:rPr>
              <w:t xml:space="preserve"> </w:t>
            </w:r>
          </w:p>
          <w:p w14:paraId="23912DB0" w14:textId="77777777" w:rsidR="00760802" w:rsidRPr="006E3C70" w:rsidRDefault="00760802" w:rsidP="006E3C70">
            <w:pPr>
              <w:spacing w:line="276" w:lineRule="auto"/>
              <w:rPr>
                <w:rFonts w:eastAsia="Gill Sans Infant Std" w:cstheme="minorHAnsi"/>
                <w:b w:val="0"/>
                <w:bCs w:val="0"/>
                <w:sz w:val="20"/>
                <w:szCs w:val="20"/>
              </w:rPr>
            </w:pPr>
          </w:p>
          <w:p w14:paraId="1392873E" w14:textId="77777777" w:rsidR="00760802" w:rsidRPr="006E3C70" w:rsidRDefault="00760802" w:rsidP="006E3C70">
            <w:pPr>
              <w:spacing w:line="276" w:lineRule="auto"/>
              <w:rPr>
                <w:rFonts w:eastAsia="Gill Sans Infant Std" w:cstheme="minorHAnsi"/>
                <w:b w:val="0"/>
                <w:bCs w:val="0"/>
                <w:sz w:val="20"/>
                <w:szCs w:val="20"/>
              </w:rPr>
            </w:pPr>
          </w:p>
          <w:p w14:paraId="775B01E1" w14:textId="77777777" w:rsidR="00760802" w:rsidRPr="006E3C70" w:rsidRDefault="00760802" w:rsidP="006E3C70">
            <w:pPr>
              <w:spacing w:line="276" w:lineRule="auto"/>
              <w:rPr>
                <w:rFonts w:eastAsia="Gill Sans Infant Std" w:cstheme="minorHAnsi"/>
                <w:b w:val="0"/>
                <w:bCs w:val="0"/>
                <w:sz w:val="20"/>
                <w:szCs w:val="20"/>
              </w:rPr>
            </w:pPr>
          </w:p>
          <w:p w14:paraId="796402F4" w14:textId="77777777" w:rsidR="00760802" w:rsidRPr="006E3C70" w:rsidRDefault="00760802" w:rsidP="006E3C70">
            <w:pPr>
              <w:spacing w:line="276" w:lineRule="auto"/>
              <w:rPr>
                <w:rFonts w:eastAsia="Gill Sans Infant Std" w:cstheme="minorHAnsi"/>
                <w:b w:val="0"/>
                <w:bCs w:val="0"/>
                <w:sz w:val="20"/>
                <w:szCs w:val="20"/>
              </w:rPr>
            </w:pPr>
            <w:r w:rsidRPr="006E3C70">
              <w:rPr>
                <w:rFonts w:eastAsia="Gill Sans Infant Std" w:cstheme="minorHAnsi"/>
                <w:sz w:val="20"/>
                <w:szCs w:val="20"/>
              </w:rPr>
              <w:t xml:space="preserve"> </w:t>
            </w:r>
          </w:p>
          <w:p w14:paraId="0CD25257" w14:textId="77777777" w:rsidR="00760802" w:rsidRPr="006E3C70" w:rsidRDefault="00760802" w:rsidP="006E3C70">
            <w:pPr>
              <w:spacing w:line="276" w:lineRule="auto"/>
              <w:rPr>
                <w:rFonts w:eastAsia="Gill Sans Infant Std" w:cstheme="minorHAnsi"/>
                <w:b w:val="0"/>
                <w:bCs w:val="0"/>
                <w:sz w:val="20"/>
                <w:szCs w:val="20"/>
              </w:rPr>
            </w:pPr>
            <w:r w:rsidRPr="006E3C70">
              <w:rPr>
                <w:rFonts w:eastAsia="Gill Sans Infant Std" w:cstheme="minorHAnsi"/>
                <w:sz w:val="20"/>
                <w:szCs w:val="20"/>
              </w:rPr>
              <w:t xml:space="preserve"> </w:t>
            </w:r>
          </w:p>
          <w:p w14:paraId="7BAD8548" w14:textId="77777777" w:rsidR="00760802" w:rsidRPr="006E3C70" w:rsidRDefault="00760802" w:rsidP="006E3C70">
            <w:pPr>
              <w:spacing w:line="276" w:lineRule="auto"/>
              <w:rPr>
                <w:rFonts w:eastAsia="Gill Sans Infant Std" w:cstheme="minorHAnsi"/>
                <w:b w:val="0"/>
                <w:bCs w:val="0"/>
                <w:sz w:val="20"/>
                <w:szCs w:val="20"/>
              </w:rPr>
            </w:pPr>
            <w:r w:rsidRPr="006E3C70">
              <w:rPr>
                <w:rFonts w:eastAsia="Gill Sans Infant Std" w:cstheme="minorHAnsi"/>
                <w:sz w:val="20"/>
                <w:szCs w:val="20"/>
              </w:rPr>
              <w:t>Impact Level</w:t>
            </w:r>
          </w:p>
        </w:tc>
        <w:tc>
          <w:tcPr>
            <w:tcW w:w="4500" w:type="dxa"/>
          </w:tcPr>
          <w:p w14:paraId="4ADF0567" w14:textId="77777777" w:rsidR="00760802" w:rsidRPr="006E3C70" w:rsidRDefault="00760802" w:rsidP="006E3C70">
            <w:pPr>
              <w:pStyle w:val="ListParagraph"/>
              <w:numPr>
                <w:ilvl w:val="0"/>
                <w:numId w:val="6"/>
              </w:numPr>
              <w:spacing w:line="276" w:lineRule="auto"/>
              <w:ind w:left="346"/>
              <w:cnfStyle w:val="000000000000" w:firstRow="0" w:lastRow="0" w:firstColumn="0" w:lastColumn="0" w:oddVBand="0" w:evenVBand="0" w:oddHBand="0" w:evenHBand="0" w:firstRowFirstColumn="0" w:firstRowLastColumn="0" w:lastRowFirstColumn="0" w:lastRowLastColumn="0"/>
              <w:rPr>
                <w:rFonts w:eastAsia="Gill Sans Infant Std" w:cstheme="minorHAnsi"/>
                <w:sz w:val="20"/>
                <w:szCs w:val="20"/>
              </w:rPr>
            </w:pPr>
            <w:r w:rsidRPr="006E3C70">
              <w:rPr>
                <w:rFonts w:eastAsia="Gill Sans Infant Std" w:cstheme="minorHAnsi"/>
                <w:sz w:val="20"/>
                <w:szCs w:val="20"/>
              </w:rPr>
              <w:t>What is the existing evidence supporting the implementation of climate adaptation interventions</w:t>
            </w:r>
          </w:p>
        </w:tc>
        <w:tc>
          <w:tcPr>
            <w:tcW w:w="1800" w:type="dxa"/>
            <w:vMerge w:val="restart"/>
          </w:tcPr>
          <w:p w14:paraId="68DF3022"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sz w:val="20"/>
                <w:szCs w:val="20"/>
              </w:rPr>
            </w:pPr>
            <w:r w:rsidRPr="006E3C70">
              <w:rPr>
                <w:rFonts w:eastAsia="Gill Sans Infant Std" w:cstheme="minorHAnsi"/>
                <w:sz w:val="20"/>
                <w:szCs w:val="20"/>
              </w:rPr>
              <w:t>Analysis of quantitative and qualitative data</w:t>
            </w:r>
          </w:p>
          <w:p w14:paraId="554681E2"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sz w:val="20"/>
                <w:szCs w:val="20"/>
              </w:rPr>
            </w:pPr>
            <w:r w:rsidRPr="006E3C70">
              <w:rPr>
                <w:rFonts w:eastAsia="Gill Sans Infant Std" w:cstheme="minorHAnsi"/>
                <w:sz w:val="20"/>
                <w:szCs w:val="20"/>
              </w:rPr>
              <w:t xml:space="preserve"> </w:t>
            </w:r>
          </w:p>
          <w:p w14:paraId="0CF1ACC5"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sz w:val="20"/>
                <w:szCs w:val="20"/>
              </w:rPr>
            </w:pPr>
          </w:p>
          <w:p w14:paraId="2E7DCA19"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sz w:val="20"/>
                <w:szCs w:val="20"/>
              </w:rPr>
            </w:pPr>
            <w:r w:rsidRPr="006E3C70">
              <w:rPr>
                <w:rFonts w:eastAsia="Gill Sans Infant Std" w:cstheme="minorHAnsi"/>
                <w:sz w:val="20"/>
                <w:szCs w:val="20"/>
              </w:rPr>
              <w:t>Critical Interpretive Synthesis</w:t>
            </w:r>
          </w:p>
        </w:tc>
        <w:tc>
          <w:tcPr>
            <w:tcW w:w="1836" w:type="dxa"/>
            <w:vMerge w:val="restart"/>
          </w:tcPr>
          <w:p w14:paraId="2ABEF454"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sz w:val="20"/>
                <w:szCs w:val="20"/>
              </w:rPr>
            </w:pPr>
            <w:r w:rsidRPr="006E3C70">
              <w:rPr>
                <w:rFonts w:eastAsia="Gill Sans Infant Std" w:cstheme="minorHAnsi"/>
                <w:sz w:val="20"/>
                <w:szCs w:val="20"/>
              </w:rPr>
              <w:t>Annual reports and performance/impact evaluation reports</w:t>
            </w:r>
          </w:p>
          <w:p w14:paraId="7AB00CC9"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sz w:val="20"/>
                <w:szCs w:val="20"/>
              </w:rPr>
            </w:pPr>
            <w:r w:rsidRPr="006E3C70">
              <w:rPr>
                <w:rFonts w:eastAsia="Gill Sans Infant Std" w:cstheme="minorHAnsi"/>
                <w:sz w:val="20"/>
                <w:szCs w:val="20"/>
              </w:rPr>
              <w:t xml:space="preserve"> </w:t>
            </w:r>
          </w:p>
          <w:p w14:paraId="4EE765CB"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sz w:val="20"/>
                <w:szCs w:val="20"/>
              </w:rPr>
            </w:pPr>
            <w:r w:rsidRPr="006E3C70">
              <w:rPr>
                <w:rFonts w:eastAsia="Gill Sans Infant Std" w:cstheme="minorHAnsi"/>
                <w:sz w:val="20"/>
                <w:szCs w:val="20"/>
              </w:rPr>
              <w:t xml:space="preserve">Existing databases and data collected from partners, key informants, and beneficiaries’ surveys </w:t>
            </w:r>
          </w:p>
          <w:p w14:paraId="1E38F072"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eastAsia="Gill Sans Infant Std" w:cstheme="minorHAnsi"/>
                <w:sz w:val="20"/>
                <w:szCs w:val="20"/>
              </w:rPr>
            </w:pPr>
            <w:r w:rsidRPr="006E3C70">
              <w:rPr>
                <w:rFonts w:eastAsia="Gill Sans Infant Std" w:cstheme="minorHAnsi"/>
                <w:sz w:val="20"/>
                <w:szCs w:val="20"/>
              </w:rPr>
              <w:t xml:space="preserve"> </w:t>
            </w:r>
          </w:p>
        </w:tc>
      </w:tr>
      <w:tr w:rsidR="00760802" w:rsidRPr="006E3C70" w14:paraId="1F05703B" w14:textId="77777777" w:rsidTr="006626AA">
        <w:tc>
          <w:tcPr>
            <w:cnfStyle w:val="001000000000" w:firstRow="0" w:lastRow="0" w:firstColumn="1" w:lastColumn="0" w:oddVBand="0" w:evenVBand="0" w:oddHBand="0" w:evenHBand="0" w:firstRowFirstColumn="0" w:firstRowLastColumn="0" w:lastRowFirstColumn="0" w:lastRowLastColumn="0"/>
            <w:tcW w:w="1345" w:type="dxa"/>
            <w:vMerge/>
          </w:tcPr>
          <w:p w14:paraId="33F6FB9D" w14:textId="77777777" w:rsidR="00760802" w:rsidRPr="006E3C70" w:rsidRDefault="00760802" w:rsidP="006E3C70">
            <w:pPr>
              <w:spacing w:line="276" w:lineRule="auto"/>
              <w:rPr>
                <w:rFonts w:cstheme="minorHAnsi"/>
                <w:sz w:val="20"/>
                <w:szCs w:val="20"/>
              </w:rPr>
            </w:pPr>
          </w:p>
        </w:tc>
        <w:tc>
          <w:tcPr>
            <w:tcW w:w="4500" w:type="dxa"/>
          </w:tcPr>
          <w:p w14:paraId="251F8BE8" w14:textId="77777777" w:rsidR="00760802" w:rsidRPr="006E3C70" w:rsidRDefault="00760802" w:rsidP="006E3C70">
            <w:pPr>
              <w:pStyle w:val="ListParagraph"/>
              <w:numPr>
                <w:ilvl w:val="0"/>
                <w:numId w:val="6"/>
              </w:numPr>
              <w:spacing w:line="276" w:lineRule="auto"/>
              <w:ind w:left="346"/>
              <w:cnfStyle w:val="000000000000" w:firstRow="0" w:lastRow="0" w:firstColumn="0" w:lastColumn="0" w:oddVBand="0" w:evenVBand="0" w:oddHBand="0" w:evenHBand="0" w:firstRowFirstColumn="0" w:firstRowLastColumn="0" w:lastRowFirstColumn="0" w:lastRowLastColumn="0"/>
              <w:rPr>
                <w:rFonts w:eastAsia="Gill Sans Infant Std" w:cstheme="minorHAnsi"/>
                <w:sz w:val="20"/>
                <w:szCs w:val="20"/>
              </w:rPr>
            </w:pPr>
            <w:r w:rsidRPr="006E3C70">
              <w:rPr>
                <w:rFonts w:eastAsia="Gill Sans Infant Std" w:cstheme="minorHAnsi"/>
                <w:sz w:val="20"/>
                <w:szCs w:val="20"/>
              </w:rPr>
              <w:t>What evidence is there that interventions sustainably improved local climate adaptation capacity and preparedness</w:t>
            </w:r>
          </w:p>
        </w:tc>
        <w:tc>
          <w:tcPr>
            <w:tcW w:w="1800" w:type="dxa"/>
            <w:vMerge/>
          </w:tcPr>
          <w:p w14:paraId="4646FCE7"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36" w:type="dxa"/>
            <w:vMerge/>
          </w:tcPr>
          <w:p w14:paraId="2C60F78C"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60802" w:rsidRPr="006E3C70" w14:paraId="01EDAD05" w14:textId="77777777" w:rsidTr="006626AA">
        <w:tc>
          <w:tcPr>
            <w:cnfStyle w:val="001000000000" w:firstRow="0" w:lastRow="0" w:firstColumn="1" w:lastColumn="0" w:oddVBand="0" w:evenVBand="0" w:oddHBand="0" w:evenHBand="0" w:firstRowFirstColumn="0" w:firstRowLastColumn="0" w:lastRowFirstColumn="0" w:lastRowLastColumn="0"/>
            <w:tcW w:w="1345" w:type="dxa"/>
            <w:vMerge/>
          </w:tcPr>
          <w:p w14:paraId="2EAF4E04" w14:textId="77777777" w:rsidR="00760802" w:rsidRPr="006E3C70" w:rsidRDefault="00760802" w:rsidP="006E3C70">
            <w:pPr>
              <w:spacing w:line="276" w:lineRule="auto"/>
              <w:rPr>
                <w:rFonts w:cstheme="minorHAnsi"/>
                <w:sz w:val="20"/>
                <w:szCs w:val="20"/>
              </w:rPr>
            </w:pPr>
          </w:p>
        </w:tc>
        <w:tc>
          <w:tcPr>
            <w:tcW w:w="4500" w:type="dxa"/>
          </w:tcPr>
          <w:p w14:paraId="1650CD57" w14:textId="77777777" w:rsidR="00760802" w:rsidRPr="006E3C70" w:rsidRDefault="00760802" w:rsidP="006E3C70">
            <w:pPr>
              <w:pStyle w:val="ListParagraph"/>
              <w:numPr>
                <w:ilvl w:val="0"/>
                <w:numId w:val="6"/>
              </w:numPr>
              <w:spacing w:line="276" w:lineRule="auto"/>
              <w:ind w:left="346"/>
              <w:cnfStyle w:val="000000000000" w:firstRow="0" w:lastRow="0" w:firstColumn="0" w:lastColumn="0" w:oddVBand="0" w:evenVBand="0" w:oddHBand="0" w:evenHBand="0" w:firstRowFirstColumn="0" w:firstRowLastColumn="0" w:lastRowFirstColumn="0" w:lastRowLastColumn="0"/>
              <w:rPr>
                <w:rFonts w:eastAsia="Gill Sans Infant Std" w:cstheme="minorHAnsi"/>
                <w:sz w:val="20"/>
                <w:szCs w:val="20"/>
              </w:rPr>
            </w:pPr>
            <w:r w:rsidRPr="006E3C70">
              <w:rPr>
                <w:rFonts w:eastAsia="Gill Sans Infant Std" w:cstheme="minorHAnsi"/>
                <w:sz w:val="20"/>
                <w:szCs w:val="20"/>
              </w:rPr>
              <w:t xml:space="preserve">What evidence is there that climate-related interventions reduced climate risks in the target communities or production systems </w:t>
            </w:r>
          </w:p>
        </w:tc>
        <w:tc>
          <w:tcPr>
            <w:tcW w:w="1800" w:type="dxa"/>
            <w:vMerge/>
          </w:tcPr>
          <w:p w14:paraId="34E24CEF"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36" w:type="dxa"/>
            <w:vMerge/>
          </w:tcPr>
          <w:p w14:paraId="68AE4DDB"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60802" w:rsidRPr="006E3C70" w14:paraId="12D2D9DA" w14:textId="77777777" w:rsidTr="006626AA">
        <w:tc>
          <w:tcPr>
            <w:cnfStyle w:val="001000000000" w:firstRow="0" w:lastRow="0" w:firstColumn="1" w:lastColumn="0" w:oddVBand="0" w:evenVBand="0" w:oddHBand="0" w:evenHBand="0" w:firstRowFirstColumn="0" w:firstRowLastColumn="0" w:lastRowFirstColumn="0" w:lastRowLastColumn="0"/>
            <w:tcW w:w="1345" w:type="dxa"/>
            <w:vMerge/>
          </w:tcPr>
          <w:p w14:paraId="16133FDB" w14:textId="77777777" w:rsidR="00760802" w:rsidRPr="006E3C70" w:rsidRDefault="00760802" w:rsidP="006E3C70">
            <w:pPr>
              <w:spacing w:line="276" w:lineRule="auto"/>
              <w:rPr>
                <w:rFonts w:cstheme="minorHAnsi"/>
                <w:sz w:val="20"/>
                <w:szCs w:val="20"/>
              </w:rPr>
            </w:pPr>
          </w:p>
        </w:tc>
        <w:tc>
          <w:tcPr>
            <w:tcW w:w="4500" w:type="dxa"/>
          </w:tcPr>
          <w:p w14:paraId="7B858063" w14:textId="77777777" w:rsidR="00760802" w:rsidRPr="006E3C70" w:rsidRDefault="00760802" w:rsidP="006E3C70">
            <w:pPr>
              <w:pStyle w:val="ListParagraph"/>
              <w:numPr>
                <w:ilvl w:val="0"/>
                <w:numId w:val="6"/>
              </w:numPr>
              <w:spacing w:line="276" w:lineRule="auto"/>
              <w:ind w:left="346"/>
              <w:cnfStyle w:val="000000000000" w:firstRow="0" w:lastRow="0" w:firstColumn="0" w:lastColumn="0" w:oddVBand="0" w:evenVBand="0" w:oddHBand="0" w:evenHBand="0" w:firstRowFirstColumn="0" w:firstRowLastColumn="0" w:lastRowFirstColumn="0" w:lastRowLastColumn="0"/>
              <w:rPr>
                <w:rFonts w:eastAsia="Gill Sans Infant Std" w:cstheme="minorHAnsi"/>
                <w:sz w:val="20"/>
                <w:szCs w:val="20"/>
              </w:rPr>
            </w:pPr>
            <w:r w:rsidRPr="006E3C70">
              <w:rPr>
                <w:rFonts w:eastAsia="Gill Sans Infant Std" w:cstheme="minorHAnsi"/>
                <w:sz w:val="20"/>
                <w:szCs w:val="20"/>
              </w:rPr>
              <w:t>What evidence is there that the results of climate-related interventions raised awareness among governments, communities, and the private sector</w:t>
            </w:r>
          </w:p>
        </w:tc>
        <w:tc>
          <w:tcPr>
            <w:tcW w:w="1800" w:type="dxa"/>
            <w:vMerge/>
          </w:tcPr>
          <w:p w14:paraId="4B9B3FEA"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36" w:type="dxa"/>
            <w:vMerge/>
          </w:tcPr>
          <w:p w14:paraId="1DEFC7DB"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60802" w:rsidRPr="006E3C70" w14:paraId="56BF663B" w14:textId="77777777" w:rsidTr="006626AA">
        <w:trPr>
          <w:trHeight w:val="998"/>
        </w:trPr>
        <w:tc>
          <w:tcPr>
            <w:cnfStyle w:val="001000000000" w:firstRow="0" w:lastRow="0" w:firstColumn="1" w:lastColumn="0" w:oddVBand="0" w:evenVBand="0" w:oddHBand="0" w:evenHBand="0" w:firstRowFirstColumn="0" w:firstRowLastColumn="0" w:lastRowFirstColumn="0" w:lastRowLastColumn="0"/>
            <w:tcW w:w="1345" w:type="dxa"/>
            <w:vMerge/>
          </w:tcPr>
          <w:p w14:paraId="3DFC4A00" w14:textId="77777777" w:rsidR="00760802" w:rsidRPr="006E3C70" w:rsidRDefault="00760802" w:rsidP="006E3C70">
            <w:pPr>
              <w:spacing w:line="276" w:lineRule="auto"/>
              <w:rPr>
                <w:rFonts w:cstheme="minorHAnsi"/>
                <w:sz w:val="20"/>
                <w:szCs w:val="20"/>
              </w:rPr>
            </w:pPr>
          </w:p>
        </w:tc>
        <w:tc>
          <w:tcPr>
            <w:tcW w:w="4500" w:type="dxa"/>
          </w:tcPr>
          <w:p w14:paraId="12AFB89F" w14:textId="77777777" w:rsidR="00760802" w:rsidRPr="006E3C70" w:rsidRDefault="00760802" w:rsidP="006E3C70">
            <w:pPr>
              <w:pStyle w:val="ListParagraph"/>
              <w:numPr>
                <w:ilvl w:val="0"/>
                <w:numId w:val="6"/>
              </w:numPr>
              <w:spacing w:line="276" w:lineRule="auto"/>
              <w:ind w:left="346"/>
              <w:cnfStyle w:val="000000000000" w:firstRow="0" w:lastRow="0" w:firstColumn="0" w:lastColumn="0" w:oddVBand="0" w:evenVBand="0" w:oddHBand="0" w:evenHBand="0" w:firstRowFirstColumn="0" w:firstRowLastColumn="0" w:lastRowFirstColumn="0" w:lastRowLastColumn="0"/>
              <w:rPr>
                <w:rFonts w:eastAsia="Gill Sans Infant Std" w:cstheme="minorHAnsi"/>
                <w:sz w:val="20"/>
                <w:szCs w:val="20"/>
              </w:rPr>
            </w:pPr>
            <w:r w:rsidRPr="006E3C70">
              <w:rPr>
                <w:rFonts w:eastAsia="Gill Sans Infant Std" w:cstheme="minorHAnsi"/>
                <w:sz w:val="20"/>
                <w:szCs w:val="20"/>
              </w:rPr>
              <w:t>What evidence is there that climate adaptation interventions elevated justice and equity (smallholders, women, youth, and other marginalized groups)</w:t>
            </w:r>
          </w:p>
        </w:tc>
        <w:tc>
          <w:tcPr>
            <w:tcW w:w="1800" w:type="dxa"/>
            <w:vMerge/>
          </w:tcPr>
          <w:p w14:paraId="7A4A5E56"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36" w:type="dxa"/>
            <w:vMerge/>
          </w:tcPr>
          <w:p w14:paraId="1211FA63" w14:textId="77777777" w:rsidR="00760802" w:rsidRPr="006E3C70" w:rsidRDefault="00760802" w:rsidP="006E3C7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07C1BD1A" w14:textId="77777777" w:rsidR="00760802" w:rsidRPr="006E3C70" w:rsidRDefault="00760802" w:rsidP="006E3C70">
      <w:pPr>
        <w:spacing w:after="0" w:line="276" w:lineRule="auto"/>
        <w:rPr>
          <w:rFonts w:cstheme="minorHAnsi"/>
          <w:b/>
          <w:bCs/>
        </w:rPr>
      </w:pPr>
    </w:p>
    <w:p w14:paraId="2AC26EB0" w14:textId="77777777" w:rsidR="00421CD9" w:rsidRPr="006E3C70" w:rsidRDefault="00421CD9" w:rsidP="006E3C70">
      <w:pPr>
        <w:spacing w:after="0" w:line="276" w:lineRule="auto"/>
        <w:rPr>
          <w:rStyle w:val="Strong"/>
          <w:rFonts w:cstheme="minorHAnsi"/>
          <w:sz w:val="24"/>
          <w:szCs w:val="24"/>
          <w:shd w:val="clear" w:color="auto" w:fill="FFFFFF"/>
        </w:rPr>
      </w:pPr>
      <w:r w:rsidRPr="006E3C70">
        <w:rPr>
          <w:rStyle w:val="Strong"/>
          <w:rFonts w:cstheme="minorHAnsi"/>
          <w:sz w:val="24"/>
          <w:szCs w:val="24"/>
          <w:shd w:val="clear" w:color="auto" w:fill="FFFFFF"/>
        </w:rPr>
        <w:t>Expected Deliverables</w:t>
      </w:r>
    </w:p>
    <w:p w14:paraId="296F9524" w14:textId="77777777" w:rsidR="00B73C2B" w:rsidRPr="006E3C70" w:rsidRDefault="00B73C2B" w:rsidP="006E3C70">
      <w:pPr>
        <w:pStyle w:val="ListParagraph"/>
        <w:numPr>
          <w:ilvl w:val="0"/>
          <w:numId w:val="6"/>
        </w:numPr>
        <w:spacing w:after="0" w:line="276" w:lineRule="auto"/>
        <w:ind w:left="450"/>
        <w:rPr>
          <w:rFonts w:cstheme="minorHAnsi"/>
          <w:sz w:val="24"/>
          <w:szCs w:val="24"/>
        </w:rPr>
      </w:pPr>
      <w:r w:rsidRPr="006E3C70">
        <w:rPr>
          <w:rFonts w:cstheme="minorHAnsi"/>
          <w:sz w:val="24"/>
          <w:szCs w:val="24"/>
        </w:rPr>
        <w:t xml:space="preserve">Desk review report </w:t>
      </w:r>
    </w:p>
    <w:p w14:paraId="43DD6965" w14:textId="02A2DF40" w:rsidR="00B73C2B" w:rsidRPr="006E3C70" w:rsidRDefault="00B73C2B" w:rsidP="006E3C70">
      <w:pPr>
        <w:pStyle w:val="ListParagraph"/>
        <w:numPr>
          <w:ilvl w:val="0"/>
          <w:numId w:val="6"/>
        </w:numPr>
        <w:spacing w:after="0" w:line="276" w:lineRule="auto"/>
        <w:ind w:left="450"/>
        <w:rPr>
          <w:rFonts w:cstheme="minorHAnsi"/>
          <w:sz w:val="24"/>
          <w:szCs w:val="24"/>
        </w:rPr>
      </w:pPr>
      <w:r w:rsidRPr="006E3C70">
        <w:rPr>
          <w:rFonts w:cstheme="minorHAnsi"/>
          <w:sz w:val="24"/>
          <w:szCs w:val="24"/>
        </w:rPr>
        <w:t xml:space="preserve">Data and survey report </w:t>
      </w:r>
    </w:p>
    <w:p w14:paraId="3D5B53CC" w14:textId="7A674E37" w:rsidR="00E036C6" w:rsidRPr="006E3C70" w:rsidRDefault="00E036C6" w:rsidP="006E3C70">
      <w:pPr>
        <w:pStyle w:val="ListParagraph"/>
        <w:numPr>
          <w:ilvl w:val="0"/>
          <w:numId w:val="6"/>
        </w:numPr>
        <w:spacing w:after="0" w:line="276" w:lineRule="auto"/>
        <w:ind w:left="450"/>
        <w:rPr>
          <w:rFonts w:cstheme="minorHAnsi"/>
          <w:sz w:val="24"/>
          <w:szCs w:val="24"/>
        </w:rPr>
      </w:pPr>
      <w:r w:rsidRPr="006E3C70">
        <w:rPr>
          <w:rFonts w:cstheme="minorHAnsi"/>
          <w:sz w:val="24"/>
          <w:szCs w:val="24"/>
        </w:rPr>
        <w:t xml:space="preserve">Final assessment report </w:t>
      </w:r>
    </w:p>
    <w:p w14:paraId="2AF664EA" w14:textId="68307F5A" w:rsidR="00F61192" w:rsidRPr="006E3C70" w:rsidRDefault="00F61192" w:rsidP="006E3C70">
      <w:pPr>
        <w:spacing w:after="0" w:line="276" w:lineRule="auto"/>
        <w:rPr>
          <w:rFonts w:cstheme="minorHAnsi"/>
          <w:sz w:val="24"/>
          <w:szCs w:val="24"/>
        </w:rPr>
      </w:pPr>
    </w:p>
    <w:p w14:paraId="279284C7" w14:textId="77777777" w:rsidR="00E036C6" w:rsidRPr="006E3C70" w:rsidRDefault="00E036C6" w:rsidP="006E3C70">
      <w:pPr>
        <w:spacing w:after="0" w:line="276" w:lineRule="auto"/>
        <w:rPr>
          <w:rFonts w:cstheme="minorHAnsi"/>
          <w:sz w:val="24"/>
          <w:szCs w:val="24"/>
        </w:rPr>
      </w:pPr>
    </w:p>
    <w:p w14:paraId="6C0426F5" w14:textId="77777777" w:rsidR="007E6E00" w:rsidRDefault="007E6E00" w:rsidP="006E3C70">
      <w:pPr>
        <w:spacing w:after="0" w:line="276" w:lineRule="auto"/>
        <w:rPr>
          <w:rFonts w:cstheme="minorHAnsi"/>
          <w:b/>
          <w:bCs/>
          <w:sz w:val="24"/>
          <w:szCs w:val="24"/>
        </w:rPr>
      </w:pPr>
    </w:p>
    <w:p w14:paraId="2F40BACA" w14:textId="37A264DC" w:rsidR="00F61192" w:rsidRPr="006E3C70" w:rsidRDefault="00355765" w:rsidP="006E3C70">
      <w:pPr>
        <w:spacing w:after="0" w:line="276" w:lineRule="auto"/>
        <w:rPr>
          <w:rFonts w:cstheme="minorHAnsi"/>
          <w:b/>
          <w:bCs/>
          <w:sz w:val="24"/>
          <w:szCs w:val="24"/>
        </w:rPr>
      </w:pPr>
      <w:r w:rsidRPr="006E3C70">
        <w:rPr>
          <w:rFonts w:cstheme="minorHAnsi"/>
          <w:b/>
          <w:bCs/>
          <w:sz w:val="24"/>
          <w:szCs w:val="24"/>
        </w:rPr>
        <w:lastRenderedPageBreak/>
        <w:t xml:space="preserve">Study Management </w:t>
      </w:r>
    </w:p>
    <w:p w14:paraId="42DE05E5" w14:textId="50C15F10" w:rsidR="00355765" w:rsidRPr="006E3C70" w:rsidRDefault="003C1B1B" w:rsidP="006E3C70">
      <w:pPr>
        <w:spacing w:after="0" w:line="276" w:lineRule="auto"/>
        <w:rPr>
          <w:rFonts w:cstheme="minorHAnsi"/>
          <w:sz w:val="24"/>
          <w:szCs w:val="24"/>
        </w:rPr>
      </w:pPr>
      <w:r w:rsidRPr="006E3C70">
        <w:rPr>
          <w:rFonts w:cstheme="minorHAnsi"/>
          <w:sz w:val="24"/>
          <w:szCs w:val="24"/>
        </w:rPr>
        <w:t>The consultant</w:t>
      </w:r>
      <w:r w:rsidR="007E6E00">
        <w:rPr>
          <w:rFonts w:cstheme="minorHAnsi"/>
          <w:sz w:val="24"/>
          <w:szCs w:val="24"/>
        </w:rPr>
        <w:t>/CO staff</w:t>
      </w:r>
      <w:r w:rsidRPr="006E3C70">
        <w:rPr>
          <w:rFonts w:cstheme="minorHAnsi"/>
          <w:sz w:val="24"/>
          <w:szCs w:val="24"/>
        </w:rPr>
        <w:t xml:space="preserve"> will closely work with the </w:t>
      </w:r>
      <w:r w:rsidR="00917A87" w:rsidRPr="006E3C70">
        <w:rPr>
          <w:rFonts w:cstheme="minorHAnsi"/>
          <w:sz w:val="24"/>
          <w:szCs w:val="24"/>
        </w:rPr>
        <w:t xml:space="preserve">staff assigned by </w:t>
      </w:r>
      <w:r w:rsidRPr="006E3C70">
        <w:rPr>
          <w:rFonts w:cstheme="minorHAnsi"/>
          <w:sz w:val="24"/>
          <w:szCs w:val="24"/>
        </w:rPr>
        <w:t>Save the Children</w:t>
      </w:r>
      <w:r w:rsidR="007E6E00">
        <w:rPr>
          <w:rFonts w:cstheme="minorHAnsi"/>
          <w:sz w:val="24"/>
          <w:szCs w:val="24"/>
        </w:rPr>
        <w:t xml:space="preserve"> CO Tanzania</w:t>
      </w:r>
      <w:r w:rsidR="00917A87" w:rsidRPr="006E3C70">
        <w:rPr>
          <w:rFonts w:cstheme="minorHAnsi"/>
          <w:sz w:val="24"/>
          <w:szCs w:val="24"/>
        </w:rPr>
        <w:t xml:space="preserve">. </w:t>
      </w:r>
      <w:r w:rsidRPr="006E3C70">
        <w:rPr>
          <w:rFonts w:cstheme="minorHAnsi"/>
          <w:sz w:val="24"/>
          <w:szCs w:val="24"/>
        </w:rPr>
        <w:t xml:space="preserve"> </w:t>
      </w:r>
    </w:p>
    <w:p w14:paraId="1167E493" w14:textId="59B8A727" w:rsidR="00631F4B" w:rsidRPr="006E3C70" w:rsidRDefault="00631F4B" w:rsidP="006E3C70">
      <w:pPr>
        <w:spacing w:after="0" w:line="276" w:lineRule="auto"/>
        <w:rPr>
          <w:rFonts w:cstheme="minorHAnsi"/>
          <w:sz w:val="24"/>
          <w:szCs w:val="24"/>
        </w:rPr>
      </w:pPr>
    </w:p>
    <w:p w14:paraId="1935DD1D" w14:textId="2BBA907A" w:rsidR="00631F4B" w:rsidRPr="006E3C70" w:rsidRDefault="00631F4B" w:rsidP="006E3C70">
      <w:pPr>
        <w:spacing w:after="0" w:line="276" w:lineRule="auto"/>
        <w:rPr>
          <w:rFonts w:cstheme="minorHAnsi"/>
          <w:b/>
          <w:bCs/>
          <w:sz w:val="24"/>
          <w:szCs w:val="24"/>
        </w:rPr>
      </w:pPr>
      <w:r w:rsidRPr="006E3C70">
        <w:rPr>
          <w:rFonts w:cstheme="minorHAnsi"/>
          <w:b/>
          <w:bCs/>
          <w:sz w:val="24"/>
          <w:szCs w:val="24"/>
        </w:rPr>
        <w:t>Timeline</w:t>
      </w:r>
    </w:p>
    <w:tbl>
      <w:tblPr>
        <w:tblW w:w="4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1082"/>
        <w:gridCol w:w="1055"/>
        <w:gridCol w:w="1012"/>
      </w:tblGrid>
      <w:tr w:rsidR="000E41AB" w:rsidRPr="006E3C70" w14:paraId="54764E6C" w14:textId="77777777" w:rsidTr="000E41AB">
        <w:trPr>
          <w:cantSplit/>
          <w:trHeight w:val="288"/>
        </w:trPr>
        <w:tc>
          <w:tcPr>
            <w:tcW w:w="3108" w:type="pct"/>
            <w:shd w:val="clear" w:color="auto" w:fill="E7E6E6" w:themeFill="background2"/>
            <w:vAlign w:val="center"/>
            <w:hideMark/>
          </w:tcPr>
          <w:p w14:paraId="42704FB1" w14:textId="77777777" w:rsidR="000E41AB" w:rsidRPr="006E3C70" w:rsidRDefault="000E41AB" w:rsidP="006E3C70">
            <w:pPr>
              <w:spacing w:after="0" w:line="276" w:lineRule="auto"/>
              <w:jc w:val="center"/>
              <w:rPr>
                <w:rFonts w:eastAsia="Gill Sans Infant Std" w:cstheme="minorHAnsi"/>
                <w:b/>
                <w:color w:val="000000"/>
              </w:rPr>
            </w:pPr>
            <w:r w:rsidRPr="006E3C70">
              <w:rPr>
                <w:rFonts w:eastAsia="Gill Sans Infant Std" w:cstheme="minorHAnsi"/>
                <w:b/>
                <w:color w:val="000000"/>
              </w:rPr>
              <w:t>Activity</w:t>
            </w:r>
          </w:p>
        </w:tc>
        <w:tc>
          <w:tcPr>
            <w:tcW w:w="650" w:type="pct"/>
            <w:shd w:val="clear" w:color="auto" w:fill="E7E6E6" w:themeFill="background2"/>
            <w:noWrap/>
            <w:vAlign w:val="center"/>
            <w:hideMark/>
          </w:tcPr>
          <w:p w14:paraId="558024FE" w14:textId="77777777" w:rsidR="000E41AB" w:rsidRPr="006E3C70" w:rsidRDefault="000E41AB" w:rsidP="006E3C70">
            <w:pPr>
              <w:spacing w:after="0" w:line="276" w:lineRule="auto"/>
              <w:jc w:val="center"/>
              <w:rPr>
                <w:rFonts w:eastAsia="Gill Sans Infant Std" w:cstheme="minorHAnsi"/>
                <w:b/>
                <w:color w:val="000000"/>
              </w:rPr>
            </w:pPr>
            <w:r w:rsidRPr="006E3C70">
              <w:rPr>
                <w:rFonts w:eastAsia="Gill Sans Infant Std" w:cstheme="minorHAnsi"/>
                <w:b/>
                <w:color w:val="000000" w:themeColor="text1"/>
              </w:rPr>
              <w:t>Nov 2022</w:t>
            </w:r>
          </w:p>
        </w:tc>
        <w:tc>
          <w:tcPr>
            <w:tcW w:w="634" w:type="pct"/>
            <w:shd w:val="clear" w:color="auto" w:fill="E7E6E6" w:themeFill="background2"/>
            <w:noWrap/>
            <w:vAlign w:val="center"/>
            <w:hideMark/>
          </w:tcPr>
          <w:p w14:paraId="3017FE43" w14:textId="77777777" w:rsidR="000E41AB" w:rsidRPr="006E3C70" w:rsidRDefault="000E41AB" w:rsidP="006E3C70">
            <w:pPr>
              <w:spacing w:after="0" w:line="276" w:lineRule="auto"/>
              <w:jc w:val="center"/>
              <w:rPr>
                <w:rFonts w:eastAsia="Gill Sans Infant Std" w:cstheme="minorHAnsi"/>
                <w:b/>
                <w:color w:val="000000"/>
              </w:rPr>
            </w:pPr>
            <w:r w:rsidRPr="006E3C70">
              <w:rPr>
                <w:rFonts w:eastAsia="Gill Sans Infant Std" w:cstheme="minorHAnsi"/>
                <w:b/>
                <w:color w:val="000000" w:themeColor="text1"/>
              </w:rPr>
              <w:t>Dec 2022</w:t>
            </w:r>
          </w:p>
        </w:tc>
        <w:tc>
          <w:tcPr>
            <w:tcW w:w="608" w:type="pct"/>
            <w:shd w:val="clear" w:color="auto" w:fill="E7E6E6" w:themeFill="background2"/>
            <w:noWrap/>
            <w:vAlign w:val="center"/>
            <w:hideMark/>
          </w:tcPr>
          <w:p w14:paraId="23822FF3" w14:textId="77777777" w:rsidR="000E41AB" w:rsidRPr="006E3C70" w:rsidRDefault="000E41AB" w:rsidP="006E3C70">
            <w:pPr>
              <w:spacing w:after="0" w:line="276" w:lineRule="auto"/>
              <w:jc w:val="center"/>
              <w:rPr>
                <w:rFonts w:eastAsia="Gill Sans Infant Std" w:cstheme="minorHAnsi"/>
                <w:b/>
                <w:color w:val="000000"/>
              </w:rPr>
            </w:pPr>
            <w:r w:rsidRPr="006E3C70">
              <w:rPr>
                <w:rFonts w:eastAsia="Gill Sans Infant Std" w:cstheme="minorHAnsi"/>
                <w:b/>
                <w:color w:val="000000" w:themeColor="text1"/>
              </w:rPr>
              <w:t>Jan 2023</w:t>
            </w:r>
          </w:p>
        </w:tc>
      </w:tr>
      <w:tr w:rsidR="000E41AB" w:rsidRPr="006E3C70" w14:paraId="171E1C27" w14:textId="77777777" w:rsidTr="000E41AB">
        <w:trPr>
          <w:cantSplit/>
          <w:trHeight w:val="350"/>
        </w:trPr>
        <w:tc>
          <w:tcPr>
            <w:tcW w:w="3108" w:type="pct"/>
            <w:shd w:val="clear" w:color="auto" w:fill="auto"/>
            <w:vAlign w:val="center"/>
            <w:hideMark/>
          </w:tcPr>
          <w:p w14:paraId="23DE7179" w14:textId="61A19843" w:rsidR="000E41AB" w:rsidRPr="006E3C70" w:rsidRDefault="000E41AB" w:rsidP="006E3C70">
            <w:pPr>
              <w:spacing w:after="0" w:line="276" w:lineRule="auto"/>
              <w:rPr>
                <w:rFonts w:eastAsia="Gill Sans Infant Std" w:cstheme="minorHAnsi"/>
                <w:iCs/>
                <w:color w:val="000000"/>
              </w:rPr>
            </w:pPr>
            <w:r w:rsidRPr="006E3C70">
              <w:rPr>
                <w:rFonts w:eastAsia="Gill Sans Infant Std" w:cstheme="minorHAnsi"/>
                <w:iCs/>
                <w:color w:val="000000"/>
              </w:rPr>
              <w:t xml:space="preserve">Desk review </w:t>
            </w:r>
          </w:p>
          <w:p w14:paraId="27B3F158" w14:textId="77777777" w:rsidR="000E41AB" w:rsidRPr="006E3C70" w:rsidRDefault="000E41AB" w:rsidP="006E3C70">
            <w:pPr>
              <w:spacing w:after="0" w:line="276" w:lineRule="auto"/>
              <w:rPr>
                <w:rFonts w:eastAsia="Gill Sans Infant Std" w:cstheme="minorHAnsi"/>
                <w:iCs/>
                <w:color w:val="000000"/>
              </w:rPr>
            </w:pPr>
          </w:p>
        </w:tc>
        <w:tc>
          <w:tcPr>
            <w:tcW w:w="650" w:type="pct"/>
            <w:shd w:val="clear" w:color="auto" w:fill="C45911" w:themeFill="accent2" w:themeFillShade="BF"/>
            <w:vAlign w:val="center"/>
          </w:tcPr>
          <w:p w14:paraId="24CA9945" w14:textId="77777777" w:rsidR="000E41AB" w:rsidRPr="006E3C70" w:rsidRDefault="000E41AB" w:rsidP="006E3C70">
            <w:pPr>
              <w:spacing w:after="0" w:line="276" w:lineRule="auto"/>
              <w:rPr>
                <w:rFonts w:eastAsia="Gill Sans Infant Std" w:cstheme="minorHAnsi"/>
                <w:i/>
                <w:color w:val="000000"/>
              </w:rPr>
            </w:pPr>
          </w:p>
        </w:tc>
        <w:tc>
          <w:tcPr>
            <w:tcW w:w="634" w:type="pct"/>
            <w:shd w:val="clear" w:color="auto" w:fill="auto"/>
            <w:vAlign w:val="center"/>
          </w:tcPr>
          <w:p w14:paraId="0B66B81F" w14:textId="77777777" w:rsidR="000E41AB" w:rsidRPr="006E3C70" w:rsidRDefault="000E41AB" w:rsidP="006E3C70">
            <w:pPr>
              <w:spacing w:after="0" w:line="276" w:lineRule="auto"/>
              <w:rPr>
                <w:rFonts w:eastAsia="Gill Sans Infant Std" w:cstheme="minorHAnsi"/>
                <w:i/>
                <w:color w:val="000000"/>
              </w:rPr>
            </w:pPr>
          </w:p>
        </w:tc>
        <w:tc>
          <w:tcPr>
            <w:tcW w:w="608" w:type="pct"/>
            <w:shd w:val="clear" w:color="auto" w:fill="auto"/>
            <w:vAlign w:val="center"/>
          </w:tcPr>
          <w:p w14:paraId="7EB23EBF" w14:textId="77777777" w:rsidR="000E41AB" w:rsidRPr="006E3C70" w:rsidRDefault="000E41AB" w:rsidP="006E3C70">
            <w:pPr>
              <w:spacing w:after="0" w:line="276" w:lineRule="auto"/>
              <w:rPr>
                <w:rFonts w:eastAsia="Gill Sans Infant Std" w:cstheme="minorHAnsi"/>
                <w:i/>
                <w:color w:val="000000"/>
              </w:rPr>
            </w:pPr>
          </w:p>
        </w:tc>
      </w:tr>
      <w:tr w:rsidR="000E41AB" w:rsidRPr="006E3C70" w14:paraId="142CCFD7" w14:textId="77777777" w:rsidTr="000E41AB">
        <w:trPr>
          <w:cantSplit/>
          <w:trHeight w:val="288"/>
        </w:trPr>
        <w:tc>
          <w:tcPr>
            <w:tcW w:w="3108" w:type="pct"/>
            <w:shd w:val="clear" w:color="auto" w:fill="auto"/>
            <w:vAlign w:val="center"/>
            <w:hideMark/>
          </w:tcPr>
          <w:p w14:paraId="792AB3E5" w14:textId="77777777" w:rsidR="000E41AB" w:rsidRPr="006E3C70" w:rsidRDefault="000E41AB" w:rsidP="006E3C70">
            <w:pPr>
              <w:spacing w:after="0" w:line="276" w:lineRule="auto"/>
              <w:rPr>
                <w:rFonts w:cstheme="minorHAnsi"/>
              </w:rPr>
            </w:pPr>
            <w:r w:rsidRPr="006E3C70">
              <w:rPr>
                <w:rFonts w:cstheme="minorHAnsi"/>
              </w:rPr>
              <w:t>Partner surveys, key informant interviews, and beneficiary surveys</w:t>
            </w:r>
          </w:p>
          <w:p w14:paraId="76444D14" w14:textId="77777777" w:rsidR="000E41AB" w:rsidRPr="006E3C70" w:rsidRDefault="000E41AB" w:rsidP="006E3C70">
            <w:pPr>
              <w:spacing w:after="0" w:line="276" w:lineRule="auto"/>
              <w:rPr>
                <w:rFonts w:eastAsia="Gill Sans Infant Std" w:cstheme="minorHAnsi"/>
                <w:b/>
                <w:bCs/>
                <w:i/>
                <w:color w:val="000000"/>
              </w:rPr>
            </w:pPr>
          </w:p>
        </w:tc>
        <w:tc>
          <w:tcPr>
            <w:tcW w:w="650" w:type="pct"/>
            <w:shd w:val="clear" w:color="auto" w:fill="C45911" w:themeFill="accent2" w:themeFillShade="BF"/>
          </w:tcPr>
          <w:p w14:paraId="07930FC3" w14:textId="77777777" w:rsidR="000E41AB" w:rsidRPr="006E3C70" w:rsidRDefault="000E41AB" w:rsidP="006E3C70">
            <w:pPr>
              <w:spacing w:after="0" w:line="276" w:lineRule="auto"/>
              <w:jc w:val="center"/>
              <w:rPr>
                <w:rFonts w:eastAsia="Gill Sans Infant Std" w:cstheme="minorHAnsi"/>
                <w:i/>
                <w:color w:val="000000"/>
              </w:rPr>
            </w:pPr>
          </w:p>
        </w:tc>
        <w:tc>
          <w:tcPr>
            <w:tcW w:w="634" w:type="pct"/>
            <w:shd w:val="clear" w:color="auto" w:fill="C45911" w:themeFill="accent2" w:themeFillShade="BF"/>
          </w:tcPr>
          <w:p w14:paraId="2FD06ED4" w14:textId="77777777" w:rsidR="000E41AB" w:rsidRPr="006E3C70" w:rsidRDefault="000E41AB" w:rsidP="006E3C70">
            <w:pPr>
              <w:spacing w:after="0" w:line="276" w:lineRule="auto"/>
              <w:jc w:val="center"/>
              <w:rPr>
                <w:rFonts w:eastAsia="Gill Sans Infant Std" w:cstheme="minorHAnsi"/>
                <w:i/>
                <w:color w:val="000000"/>
              </w:rPr>
            </w:pPr>
          </w:p>
        </w:tc>
        <w:tc>
          <w:tcPr>
            <w:tcW w:w="608" w:type="pct"/>
            <w:shd w:val="clear" w:color="auto" w:fill="auto"/>
          </w:tcPr>
          <w:p w14:paraId="6A387D53" w14:textId="77777777" w:rsidR="000E41AB" w:rsidRPr="006E3C70" w:rsidRDefault="000E41AB" w:rsidP="006E3C70">
            <w:pPr>
              <w:spacing w:after="0" w:line="276" w:lineRule="auto"/>
              <w:jc w:val="center"/>
              <w:rPr>
                <w:rFonts w:eastAsia="Gill Sans Infant Std" w:cstheme="minorHAnsi"/>
                <w:i/>
                <w:color w:val="000000"/>
              </w:rPr>
            </w:pPr>
          </w:p>
        </w:tc>
      </w:tr>
      <w:tr w:rsidR="000E41AB" w:rsidRPr="006E3C70" w14:paraId="75C9DE83" w14:textId="77777777" w:rsidTr="000E41AB">
        <w:trPr>
          <w:cantSplit/>
          <w:trHeight w:val="288"/>
        </w:trPr>
        <w:tc>
          <w:tcPr>
            <w:tcW w:w="3108" w:type="pct"/>
            <w:shd w:val="clear" w:color="auto" w:fill="auto"/>
            <w:vAlign w:val="center"/>
          </w:tcPr>
          <w:p w14:paraId="162E3A28" w14:textId="77777777" w:rsidR="000E41AB" w:rsidRPr="006E3C70" w:rsidRDefault="000E41AB" w:rsidP="006E3C70">
            <w:pPr>
              <w:spacing w:after="0" w:line="276" w:lineRule="auto"/>
              <w:rPr>
                <w:rFonts w:eastAsia="Gill Sans Infant Std" w:cstheme="minorHAnsi"/>
                <w:color w:val="000000" w:themeColor="text1"/>
              </w:rPr>
            </w:pPr>
            <w:r w:rsidRPr="006E3C70">
              <w:rPr>
                <w:rFonts w:eastAsia="Gill Sans Infant Std" w:cstheme="minorHAnsi"/>
                <w:color w:val="000000" w:themeColor="text1"/>
              </w:rPr>
              <w:t xml:space="preserve">Data cleaning, compilation, and analysis </w:t>
            </w:r>
          </w:p>
        </w:tc>
        <w:tc>
          <w:tcPr>
            <w:tcW w:w="650" w:type="pct"/>
            <w:shd w:val="clear" w:color="auto" w:fill="auto"/>
          </w:tcPr>
          <w:p w14:paraId="0C01C8A1" w14:textId="77777777" w:rsidR="000E41AB" w:rsidRPr="006E3C70" w:rsidRDefault="000E41AB" w:rsidP="006E3C70">
            <w:pPr>
              <w:spacing w:after="0" w:line="276" w:lineRule="auto"/>
              <w:jc w:val="center"/>
              <w:rPr>
                <w:rFonts w:eastAsia="Gill Sans Infant Std" w:cstheme="minorHAnsi"/>
                <w:i/>
                <w:color w:val="000000"/>
              </w:rPr>
            </w:pPr>
          </w:p>
        </w:tc>
        <w:tc>
          <w:tcPr>
            <w:tcW w:w="634" w:type="pct"/>
            <w:shd w:val="clear" w:color="auto" w:fill="C45911" w:themeFill="accent2" w:themeFillShade="BF"/>
          </w:tcPr>
          <w:p w14:paraId="3B7A8721" w14:textId="77777777" w:rsidR="000E41AB" w:rsidRPr="006E3C70" w:rsidRDefault="000E41AB" w:rsidP="006E3C70">
            <w:pPr>
              <w:spacing w:after="0" w:line="276" w:lineRule="auto"/>
              <w:jc w:val="center"/>
              <w:rPr>
                <w:rFonts w:eastAsia="Gill Sans Infant Std" w:cstheme="minorHAnsi"/>
                <w:i/>
                <w:color w:val="000000"/>
              </w:rPr>
            </w:pPr>
          </w:p>
        </w:tc>
        <w:tc>
          <w:tcPr>
            <w:tcW w:w="608" w:type="pct"/>
            <w:shd w:val="clear" w:color="auto" w:fill="auto"/>
          </w:tcPr>
          <w:p w14:paraId="669ED121" w14:textId="77777777" w:rsidR="000E41AB" w:rsidRPr="006E3C70" w:rsidRDefault="000E41AB" w:rsidP="006E3C70">
            <w:pPr>
              <w:spacing w:after="0" w:line="276" w:lineRule="auto"/>
              <w:jc w:val="center"/>
              <w:rPr>
                <w:rFonts w:eastAsia="Gill Sans Infant Std" w:cstheme="minorHAnsi"/>
                <w:i/>
                <w:color w:val="000000"/>
              </w:rPr>
            </w:pPr>
          </w:p>
        </w:tc>
      </w:tr>
      <w:tr w:rsidR="000E41AB" w:rsidRPr="006E3C70" w14:paraId="53FF33EA" w14:textId="77777777" w:rsidTr="000E41AB">
        <w:trPr>
          <w:cantSplit/>
          <w:trHeight w:val="377"/>
        </w:trPr>
        <w:tc>
          <w:tcPr>
            <w:tcW w:w="3108" w:type="pct"/>
            <w:shd w:val="clear" w:color="auto" w:fill="auto"/>
            <w:vAlign w:val="center"/>
            <w:hideMark/>
          </w:tcPr>
          <w:p w14:paraId="5C6A4DA3" w14:textId="77777777" w:rsidR="000E41AB" w:rsidRPr="006E3C70" w:rsidRDefault="000E41AB" w:rsidP="006E3C70">
            <w:pPr>
              <w:spacing w:after="0" w:line="276" w:lineRule="auto"/>
              <w:rPr>
                <w:rFonts w:eastAsia="Gill Sans Infant Std" w:cstheme="minorHAnsi"/>
                <w:color w:val="000000" w:themeColor="text1"/>
              </w:rPr>
            </w:pPr>
            <w:r w:rsidRPr="006E3C70">
              <w:rPr>
                <w:rFonts w:eastAsia="Gill Sans Infant Std" w:cstheme="minorHAnsi"/>
                <w:color w:val="000000" w:themeColor="text1"/>
              </w:rPr>
              <w:t xml:space="preserve">Report writing and knowledge of products development </w:t>
            </w:r>
          </w:p>
          <w:p w14:paraId="75313E67" w14:textId="77777777" w:rsidR="000E41AB" w:rsidRPr="006E3C70" w:rsidRDefault="000E41AB" w:rsidP="006E3C70">
            <w:pPr>
              <w:spacing w:after="0" w:line="276" w:lineRule="auto"/>
              <w:rPr>
                <w:rFonts w:eastAsia="Gill Sans Infant Std" w:cstheme="minorHAnsi"/>
                <w:b/>
                <w:bCs/>
                <w:i/>
                <w:color w:val="000000"/>
              </w:rPr>
            </w:pPr>
          </w:p>
        </w:tc>
        <w:tc>
          <w:tcPr>
            <w:tcW w:w="650" w:type="pct"/>
            <w:shd w:val="clear" w:color="auto" w:fill="auto"/>
            <w:noWrap/>
            <w:hideMark/>
          </w:tcPr>
          <w:p w14:paraId="4C2F1445" w14:textId="77777777" w:rsidR="000E41AB" w:rsidRPr="006E3C70" w:rsidRDefault="000E41AB" w:rsidP="006E3C70">
            <w:pPr>
              <w:spacing w:after="0" w:line="276" w:lineRule="auto"/>
              <w:rPr>
                <w:rFonts w:eastAsia="Gill Sans Infant Std" w:cstheme="minorHAnsi"/>
                <w:i/>
                <w:color w:val="000000"/>
              </w:rPr>
            </w:pPr>
            <w:r w:rsidRPr="006E3C70">
              <w:rPr>
                <w:rFonts w:eastAsia="Gill Sans Infant Std" w:cstheme="minorHAnsi"/>
                <w:i/>
                <w:color w:val="000000" w:themeColor="text1"/>
              </w:rPr>
              <w:t> </w:t>
            </w:r>
          </w:p>
        </w:tc>
        <w:tc>
          <w:tcPr>
            <w:tcW w:w="634" w:type="pct"/>
            <w:shd w:val="clear" w:color="auto" w:fill="C45911" w:themeFill="accent2" w:themeFillShade="BF"/>
          </w:tcPr>
          <w:p w14:paraId="4529877D" w14:textId="77777777" w:rsidR="000E41AB" w:rsidRPr="006E3C70" w:rsidRDefault="000E41AB" w:rsidP="006E3C70">
            <w:pPr>
              <w:spacing w:after="0" w:line="276" w:lineRule="auto"/>
              <w:rPr>
                <w:rFonts w:eastAsia="Gill Sans Infant Std" w:cstheme="minorHAnsi"/>
                <w:i/>
                <w:color w:val="000000"/>
              </w:rPr>
            </w:pPr>
          </w:p>
        </w:tc>
        <w:tc>
          <w:tcPr>
            <w:tcW w:w="608" w:type="pct"/>
            <w:shd w:val="clear" w:color="auto" w:fill="C45911" w:themeFill="accent2" w:themeFillShade="BF"/>
          </w:tcPr>
          <w:p w14:paraId="653F99E1" w14:textId="77777777" w:rsidR="000E41AB" w:rsidRPr="006E3C70" w:rsidRDefault="000E41AB" w:rsidP="006E3C70">
            <w:pPr>
              <w:spacing w:after="0" w:line="276" w:lineRule="auto"/>
              <w:rPr>
                <w:rFonts w:eastAsia="Gill Sans Infant Std" w:cstheme="minorHAnsi"/>
                <w:i/>
                <w:color w:val="000000"/>
              </w:rPr>
            </w:pPr>
          </w:p>
        </w:tc>
      </w:tr>
    </w:tbl>
    <w:p w14:paraId="1BF17583" w14:textId="77777777" w:rsidR="00631F4B" w:rsidRPr="006E3C70" w:rsidRDefault="00631F4B" w:rsidP="006E3C70">
      <w:pPr>
        <w:spacing w:after="0" w:line="276" w:lineRule="auto"/>
        <w:rPr>
          <w:rFonts w:cstheme="minorHAnsi"/>
          <w:sz w:val="24"/>
          <w:szCs w:val="24"/>
        </w:rPr>
      </w:pPr>
    </w:p>
    <w:p w14:paraId="09EE94E7" w14:textId="4385E79A" w:rsidR="001C6207" w:rsidRPr="006E3C70" w:rsidRDefault="001C6207" w:rsidP="006E3C70">
      <w:pPr>
        <w:spacing w:after="0" w:line="276" w:lineRule="auto"/>
        <w:rPr>
          <w:rFonts w:cstheme="minorHAnsi"/>
          <w:b/>
          <w:bCs/>
          <w:sz w:val="24"/>
          <w:szCs w:val="24"/>
        </w:rPr>
      </w:pPr>
      <w:r w:rsidRPr="006E3C70">
        <w:rPr>
          <w:rFonts w:cstheme="minorHAnsi"/>
          <w:b/>
          <w:bCs/>
          <w:sz w:val="24"/>
          <w:szCs w:val="24"/>
        </w:rPr>
        <w:t>Competency for consultancy</w:t>
      </w:r>
      <w:r w:rsidR="007536CB">
        <w:rPr>
          <w:rFonts w:cstheme="minorHAnsi"/>
          <w:b/>
          <w:bCs/>
          <w:sz w:val="24"/>
          <w:szCs w:val="24"/>
        </w:rPr>
        <w:t xml:space="preserve">/CO staff </w:t>
      </w:r>
    </w:p>
    <w:p w14:paraId="20D32AE6" w14:textId="4A708B5A" w:rsidR="001C6207" w:rsidRPr="006E3C70" w:rsidRDefault="001C6207" w:rsidP="006E3C70">
      <w:pPr>
        <w:spacing w:after="0" w:line="276" w:lineRule="auto"/>
        <w:rPr>
          <w:rFonts w:cstheme="minorHAnsi"/>
          <w:sz w:val="24"/>
          <w:szCs w:val="24"/>
        </w:rPr>
      </w:pPr>
      <w:r w:rsidRPr="006E3C70">
        <w:rPr>
          <w:rFonts w:cstheme="minorHAnsi"/>
          <w:sz w:val="24"/>
          <w:szCs w:val="24"/>
        </w:rPr>
        <w:t>The consultant</w:t>
      </w:r>
      <w:r w:rsidR="007536CB">
        <w:rPr>
          <w:rFonts w:cstheme="minorHAnsi"/>
          <w:sz w:val="24"/>
          <w:szCs w:val="24"/>
        </w:rPr>
        <w:t>/CO staff</w:t>
      </w:r>
      <w:r w:rsidRPr="006E3C70">
        <w:rPr>
          <w:rFonts w:cstheme="minorHAnsi"/>
          <w:sz w:val="24"/>
          <w:szCs w:val="24"/>
        </w:rPr>
        <w:t xml:space="preserve"> is expected to fulfill the following qualifications: </w:t>
      </w:r>
    </w:p>
    <w:p w14:paraId="6021903F" w14:textId="77777777" w:rsidR="001C6207" w:rsidRPr="006E3C70" w:rsidRDefault="001C6207" w:rsidP="006E3C70">
      <w:pPr>
        <w:pStyle w:val="ListParagraph"/>
        <w:numPr>
          <w:ilvl w:val="0"/>
          <w:numId w:val="1"/>
        </w:numPr>
        <w:spacing w:after="0" w:line="276" w:lineRule="auto"/>
        <w:contextualSpacing w:val="0"/>
        <w:rPr>
          <w:rFonts w:cstheme="minorHAnsi"/>
          <w:sz w:val="24"/>
          <w:szCs w:val="24"/>
        </w:rPr>
      </w:pPr>
      <w:r w:rsidRPr="006E3C70">
        <w:rPr>
          <w:rFonts w:cstheme="minorHAnsi"/>
          <w:sz w:val="24"/>
          <w:szCs w:val="24"/>
        </w:rPr>
        <w:t xml:space="preserve">Demonstrated experience in desk review of climate change adaptation-related programs and projects’ reports, and design and implementation of surveys, and data analysis  </w:t>
      </w:r>
    </w:p>
    <w:p w14:paraId="02A7A0CD" w14:textId="77777777" w:rsidR="001C6207" w:rsidRPr="006E3C70" w:rsidRDefault="001C6207" w:rsidP="006E3C70">
      <w:pPr>
        <w:pStyle w:val="ListParagraph"/>
        <w:numPr>
          <w:ilvl w:val="0"/>
          <w:numId w:val="1"/>
        </w:numPr>
        <w:spacing w:after="0" w:line="276" w:lineRule="auto"/>
        <w:contextualSpacing w:val="0"/>
        <w:rPr>
          <w:rFonts w:cstheme="minorHAnsi"/>
          <w:sz w:val="24"/>
          <w:szCs w:val="24"/>
        </w:rPr>
      </w:pPr>
      <w:r w:rsidRPr="006E3C70">
        <w:rPr>
          <w:rFonts w:cstheme="minorHAnsi"/>
          <w:sz w:val="24"/>
          <w:szCs w:val="24"/>
        </w:rPr>
        <w:t xml:space="preserve">Experience in working with diverse stakeholders, particularly related to climate change, agriculture, and food security  </w:t>
      </w:r>
    </w:p>
    <w:p w14:paraId="73D078C4" w14:textId="77777777" w:rsidR="001C6207" w:rsidRPr="006E3C70" w:rsidRDefault="001C6207" w:rsidP="006E3C70">
      <w:pPr>
        <w:pStyle w:val="ListParagraph"/>
        <w:numPr>
          <w:ilvl w:val="0"/>
          <w:numId w:val="1"/>
        </w:numPr>
        <w:spacing w:after="0" w:line="276" w:lineRule="auto"/>
        <w:contextualSpacing w:val="0"/>
        <w:rPr>
          <w:rFonts w:cstheme="minorHAnsi"/>
          <w:sz w:val="24"/>
          <w:szCs w:val="24"/>
        </w:rPr>
      </w:pPr>
      <w:r w:rsidRPr="006E3C70">
        <w:rPr>
          <w:rFonts w:cstheme="minorHAnsi"/>
          <w:sz w:val="24"/>
          <w:szCs w:val="24"/>
        </w:rPr>
        <w:t xml:space="preserve">Knowledge of climate change issues trends, impacts, and indicators </w:t>
      </w:r>
    </w:p>
    <w:p w14:paraId="1FB5DC10" w14:textId="77777777" w:rsidR="001C6207" w:rsidRPr="006E3C70" w:rsidRDefault="001C6207" w:rsidP="006E3C70">
      <w:pPr>
        <w:pStyle w:val="ListParagraph"/>
        <w:numPr>
          <w:ilvl w:val="0"/>
          <w:numId w:val="1"/>
        </w:numPr>
        <w:spacing w:after="0" w:line="276" w:lineRule="auto"/>
        <w:contextualSpacing w:val="0"/>
        <w:rPr>
          <w:rFonts w:cstheme="minorHAnsi"/>
          <w:sz w:val="24"/>
          <w:szCs w:val="24"/>
        </w:rPr>
      </w:pPr>
      <w:r w:rsidRPr="006E3C70">
        <w:rPr>
          <w:rFonts w:cstheme="minorHAnsi"/>
          <w:sz w:val="24"/>
          <w:szCs w:val="24"/>
        </w:rPr>
        <w:t xml:space="preserve">Knowledge of the role of climate-smart technologies and practices in addressing climate change, gender, and social inclusion is plus </w:t>
      </w:r>
    </w:p>
    <w:p w14:paraId="1EC808BD" w14:textId="69C3C20D" w:rsidR="001C6207" w:rsidRPr="006E3C70" w:rsidRDefault="001C6207" w:rsidP="006E3C70">
      <w:pPr>
        <w:pStyle w:val="ListParagraph"/>
        <w:numPr>
          <w:ilvl w:val="0"/>
          <w:numId w:val="1"/>
        </w:numPr>
        <w:spacing w:after="0" w:line="276" w:lineRule="auto"/>
        <w:contextualSpacing w:val="0"/>
        <w:rPr>
          <w:rFonts w:cstheme="minorHAnsi"/>
          <w:sz w:val="24"/>
          <w:szCs w:val="24"/>
        </w:rPr>
      </w:pPr>
      <w:r w:rsidRPr="006E3C70">
        <w:rPr>
          <w:rFonts w:cstheme="minorHAnsi"/>
          <w:sz w:val="24"/>
          <w:szCs w:val="24"/>
        </w:rPr>
        <w:t xml:space="preserve">Excellent writing and </w:t>
      </w:r>
      <w:r w:rsidR="00477D75" w:rsidRPr="006E3C70">
        <w:rPr>
          <w:rFonts w:cstheme="minorHAnsi"/>
          <w:sz w:val="24"/>
          <w:szCs w:val="24"/>
        </w:rPr>
        <w:t>communication</w:t>
      </w:r>
      <w:r w:rsidRPr="006E3C70">
        <w:rPr>
          <w:rFonts w:cstheme="minorHAnsi"/>
          <w:sz w:val="24"/>
          <w:szCs w:val="24"/>
        </w:rPr>
        <w:t xml:space="preserve"> skills</w:t>
      </w:r>
    </w:p>
    <w:p w14:paraId="7B03F39A" w14:textId="77777777" w:rsidR="001C6207" w:rsidRPr="006E3C70" w:rsidRDefault="001C6207" w:rsidP="006E3C70">
      <w:pPr>
        <w:spacing w:after="0" w:line="276" w:lineRule="auto"/>
        <w:rPr>
          <w:rFonts w:cstheme="minorHAnsi"/>
          <w:b/>
          <w:bCs/>
          <w:sz w:val="24"/>
          <w:szCs w:val="24"/>
        </w:rPr>
      </w:pPr>
    </w:p>
    <w:p w14:paraId="40FEFB4A" w14:textId="77777777" w:rsidR="00EB7B58" w:rsidRPr="006E3C70" w:rsidRDefault="00EB7B58" w:rsidP="006E3C70">
      <w:pPr>
        <w:shd w:val="clear" w:color="auto" w:fill="FFFFFF"/>
        <w:spacing w:after="0" w:line="276" w:lineRule="auto"/>
        <w:rPr>
          <w:rFonts w:eastAsia="Times New Roman" w:cstheme="minorHAnsi"/>
          <w:b/>
          <w:bCs/>
          <w:sz w:val="24"/>
          <w:szCs w:val="24"/>
        </w:rPr>
      </w:pPr>
    </w:p>
    <w:p w14:paraId="32AAC36C" w14:textId="11B3FD09" w:rsidR="00EB7B58" w:rsidRPr="006E3C70" w:rsidRDefault="00EB7B58" w:rsidP="006E3C70">
      <w:pPr>
        <w:shd w:val="clear" w:color="auto" w:fill="FFFFFF"/>
        <w:spacing w:after="0" w:line="276" w:lineRule="auto"/>
        <w:rPr>
          <w:rFonts w:eastAsia="Times New Roman" w:cstheme="minorHAnsi"/>
          <w:sz w:val="24"/>
          <w:szCs w:val="24"/>
        </w:rPr>
      </w:pPr>
      <w:r w:rsidRPr="006E3C70">
        <w:rPr>
          <w:rFonts w:eastAsia="Times New Roman" w:cstheme="minorHAnsi"/>
          <w:b/>
          <w:bCs/>
          <w:sz w:val="24"/>
          <w:szCs w:val="24"/>
        </w:rPr>
        <w:t>Schedule of Payment</w:t>
      </w:r>
    </w:p>
    <w:p w14:paraId="5C17C34D" w14:textId="0FC727F3" w:rsidR="00EB7B58" w:rsidRPr="006E3C70" w:rsidRDefault="00EB7B58" w:rsidP="006E3C70">
      <w:pPr>
        <w:shd w:val="clear" w:color="auto" w:fill="FFFFFF"/>
        <w:spacing w:after="0" w:line="276" w:lineRule="auto"/>
        <w:rPr>
          <w:rFonts w:eastAsia="Times New Roman" w:cstheme="minorHAnsi"/>
          <w:sz w:val="24"/>
          <w:szCs w:val="24"/>
        </w:rPr>
      </w:pPr>
      <w:r w:rsidRPr="006E3C70">
        <w:rPr>
          <w:rFonts w:eastAsia="Times New Roman" w:cstheme="minorHAnsi"/>
          <w:sz w:val="24"/>
          <w:szCs w:val="24"/>
        </w:rPr>
        <w:t>The payment will be made in three installments based on the deliverables</w:t>
      </w:r>
    </w:p>
    <w:p w14:paraId="16AC3C3D" w14:textId="75AA0C86" w:rsidR="00EB7B58" w:rsidRPr="006E3C70" w:rsidRDefault="00EB7B58" w:rsidP="006E3C70">
      <w:pPr>
        <w:numPr>
          <w:ilvl w:val="0"/>
          <w:numId w:val="8"/>
        </w:numPr>
        <w:shd w:val="clear" w:color="auto" w:fill="FFFFFF"/>
        <w:spacing w:after="0" w:line="276" w:lineRule="auto"/>
        <w:rPr>
          <w:rFonts w:eastAsia="Times New Roman" w:cstheme="minorHAnsi"/>
          <w:sz w:val="24"/>
          <w:szCs w:val="24"/>
        </w:rPr>
      </w:pPr>
      <w:r w:rsidRPr="006E3C70">
        <w:rPr>
          <w:rFonts w:eastAsia="Times New Roman" w:cstheme="minorHAnsi"/>
          <w:sz w:val="24"/>
          <w:szCs w:val="24"/>
        </w:rPr>
        <w:t xml:space="preserve">30% after the completion </w:t>
      </w:r>
      <w:r w:rsidR="005F6F18" w:rsidRPr="006E3C70">
        <w:rPr>
          <w:rFonts w:eastAsia="Times New Roman" w:cstheme="minorHAnsi"/>
          <w:sz w:val="24"/>
          <w:szCs w:val="24"/>
        </w:rPr>
        <w:t xml:space="preserve">of design work </w:t>
      </w:r>
    </w:p>
    <w:p w14:paraId="688FACC6" w14:textId="723B01A3" w:rsidR="00EB7B58" w:rsidRPr="006E3C70" w:rsidRDefault="00EB7B58" w:rsidP="006E3C70">
      <w:pPr>
        <w:numPr>
          <w:ilvl w:val="0"/>
          <w:numId w:val="8"/>
        </w:numPr>
        <w:shd w:val="clear" w:color="auto" w:fill="FFFFFF"/>
        <w:spacing w:after="0" w:line="276" w:lineRule="auto"/>
        <w:rPr>
          <w:rFonts w:eastAsia="Times New Roman" w:cstheme="minorHAnsi"/>
          <w:sz w:val="24"/>
          <w:szCs w:val="24"/>
        </w:rPr>
      </w:pPr>
      <w:r w:rsidRPr="006E3C70">
        <w:rPr>
          <w:rFonts w:eastAsia="Times New Roman" w:cstheme="minorHAnsi"/>
          <w:sz w:val="24"/>
          <w:szCs w:val="24"/>
        </w:rPr>
        <w:t xml:space="preserve">50% after the completion of </w:t>
      </w:r>
      <w:r w:rsidR="005F6F18" w:rsidRPr="006E3C70">
        <w:rPr>
          <w:rFonts w:eastAsia="Times New Roman" w:cstheme="minorHAnsi"/>
          <w:sz w:val="24"/>
          <w:szCs w:val="24"/>
        </w:rPr>
        <w:t xml:space="preserve">desk review and field works </w:t>
      </w:r>
    </w:p>
    <w:p w14:paraId="6AE4261B" w14:textId="7DF5EF98" w:rsidR="00EB7B58" w:rsidRPr="006E3C70" w:rsidRDefault="00EB7B58" w:rsidP="006E3C70">
      <w:pPr>
        <w:numPr>
          <w:ilvl w:val="0"/>
          <w:numId w:val="8"/>
        </w:numPr>
        <w:shd w:val="clear" w:color="auto" w:fill="FFFFFF"/>
        <w:spacing w:after="0" w:line="276" w:lineRule="auto"/>
        <w:rPr>
          <w:rFonts w:eastAsia="Times New Roman" w:cstheme="minorHAnsi"/>
          <w:sz w:val="24"/>
          <w:szCs w:val="24"/>
        </w:rPr>
      </w:pPr>
      <w:r w:rsidRPr="006E3C70">
        <w:rPr>
          <w:rFonts w:eastAsia="Times New Roman" w:cstheme="minorHAnsi"/>
          <w:sz w:val="24"/>
          <w:szCs w:val="24"/>
        </w:rPr>
        <w:t xml:space="preserve">20% after the </w:t>
      </w:r>
      <w:r w:rsidR="005F6F18" w:rsidRPr="006E3C70">
        <w:rPr>
          <w:rFonts w:eastAsia="Times New Roman" w:cstheme="minorHAnsi"/>
          <w:sz w:val="24"/>
          <w:szCs w:val="24"/>
        </w:rPr>
        <w:t xml:space="preserve">final report </w:t>
      </w:r>
    </w:p>
    <w:p w14:paraId="0733181A" w14:textId="77777777" w:rsidR="003A7696" w:rsidRPr="006E3C70" w:rsidRDefault="003A7696" w:rsidP="006E3C70">
      <w:pPr>
        <w:spacing w:after="0" w:line="276" w:lineRule="auto"/>
        <w:rPr>
          <w:rFonts w:cstheme="minorHAnsi"/>
          <w:sz w:val="24"/>
          <w:szCs w:val="24"/>
        </w:rPr>
      </w:pPr>
    </w:p>
    <w:p w14:paraId="5C337EC1" w14:textId="712073C0" w:rsidR="0042575D" w:rsidRPr="006E3C70" w:rsidRDefault="0042575D" w:rsidP="006E3C70">
      <w:pPr>
        <w:shd w:val="clear" w:color="auto" w:fill="FFFFFF"/>
        <w:spacing w:after="0" w:line="276" w:lineRule="auto"/>
        <w:rPr>
          <w:rFonts w:eastAsia="Times New Roman" w:cstheme="minorHAnsi"/>
          <w:sz w:val="24"/>
          <w:szCs w:val="24"/>
        </w:rPr>
      </w:pPr>
      <w:r w:rsidRPr="006E3C70">
        <w:rPr>
          <w:rFonts w:eastAsia="Times New Roman" w:cstheme="minorHAnsi"/>
          <w:b/>
          <w:bCs/>
          <w:sz w:val="24"/>
          <w:szCs w:val="24"/>
        </w:rPr>
        <w:t>How to apply</w:t>
      </w:r>
      <w:r w:rsidR="005E333C">
        <w:rPr>
          <w:rFonts w:eastAsia="Times New Roman" w:cstheme="minorHAnsi"/>
          <w:b/>
          <w:bCs/>
          <w:sz w:val="24"/>
          <w:szCs w:val="24"/>
        </w:rPr>
        <w:t xml:space="preserve"> (if hiring consultant)</w:t>
      </w:r>
    </w:p>
    <w:p w14:paraId="3E9294DF" w14:textId="48111308" w:rsidR="0042575D" w:rsidRPr="006E3C70" w:rsidRDefault="0042575D" w:rsidP="006E3C70">
      <w:pPr>
        <w:shd w:val="clear" w:color="auto" w:fill="FFFFFF"/>
        <w:spacing w:after="0" w:line="276" w:lineRule="auto"/>
        <w:rPr>
          <w:rFonts w:eastAsia="Times New Roman" w:cstheme="minorHAnsi"/>
          <w:sz w:val="24"/>
          <w:szCs w:val="24"/>
        </w:rPr>
      </w:pPr>
      <w:r w:rsidRPr="006E3C70">
        <w:rPr>
          <w:rFonts w:eastAsia="Times New Roman" w:cstheme="minorHAnsi"/>
          <w:sz w:val="24"/>
          <w:szCs w:val="24"/>
        </w:rPr>
        <w:t>Interested consultants are requested to apply with their CV, description of their relevant experience</w:t>
      </w:r>
      <w:r w:rsidR="005E508B" w:rsidRPr="006E3C70">
        <w:rPr>
          <w:rFonts w:eastAsia="Times New Roman" w:cstheme="minorHAnsi"/>
          <w:sz w:val="24"/>
          <w:szCs w:val="24"/>
        </w:rPr>
        <w:t xml:space="preserve">, and </w:t>
      </w:r>
      <w:r w:rsidR="00CE1E4C" w:rsidRPr="006E3C70">
        <w:rPr>
          <w:rFonts w:eastAsia="Times New Roman" w:cstheme="minorHAnsi"/>
          <w:sz w:val="24"/>
          <w:szCs w:val="24"/>
        </w:rPr>
        <w:t xml:space="preserve">one example of past consultancy work report. </w:t>
      </w:r>
    </w:p>
    <w:p w14:paraId="3D09A0C1" w14:textId="1CE8CF9A" w:rsidR="00797E2C" w:rsidRPr="00536EDC" w:rsidRDefault="00797E2C" w:rsidP="00797E2C">
      <w:pPr>
        <w:spacing w:after="0"/>
        <w:rPr>
          <w:rFonts w:ascii="Lato" w:hAnsi="Lato"/>
          <w:b/>
        </w:rPr>
      </w:pPr>
      <w:r w:rsidRPr="00536EDC">
        <w:rPr>
          <w:rFonts w:ascii="Lato" w:hAnsi="Lato"/>
          <w:b/>
        </w:rPr>
        <w:lastRenderedPageBreak/>
        <w:t>All applicants should participate and submit their e-tenders to Save the Chi</w:t>
      </w:r>
      <w:r w:rsidR="00004736">
        <w:rPr>
          <w:rFonts w:ascii="Lato" w:hAnsi="Lato"/>
          <w:b/>
        </w:rPr>
        <w:t>ldren Tanzania not later than 9</w:t>
      </w:r>
      <w:r w:rsidRPr="00536EDC">
        <w:rPr>
          <w:rFonts w:ascii="Lato" w:hAnsi="Lato"/>
          <w:b/>
          <w:vertAlign w:val="superscript"/>
        </w:rPr>
        <w:t>th</w:t>
      </w:r>
      <w:r w:rsidRPr="00536EDC">
        <w:rPr>
          <w:rFonts w:ascii="Lato" w:hAnsi="Lato"/>
          <w:b/>
        </w:rPr>
        <w:t xml:space="preserve"> </w:t>
      </w:r>
      <w:r w:rsidR="00004736">
        <w:rPr>
          <w:rFonts w:ascii="Lato" w:hAnsi="Lato"/>
          <w:b/>
        </w:rPr>
        <w:t>December</w:t>
      </w:r>
      <w:bookmarkStart w:id="0" w:name="_GoBack"/>
      <w:bookmarkEnd w:id="0"/>
      <w:r w:rsidRPr="00536EDC">
        <w:rPr>
          <w:rFonts w:ascii="Lato" w:hAnsi="Lato"/>
          <w:b/>
        </w:rPr>
        <w:t xml:space="preserve"> 2022 by 1700hrs via Ariba Network. If applicants is not on SAP Ariba Network, they should send emails requesting Ariba Network’s registration documents to </w:t>
      </w:r>
      <w:hyperlink r:id="rId10" w:history="1">
        <w:r w:rsidRPr="00536EDC">
          <w:rPr>
            <w:rStyle w:val="Hyperlink"/>
            <w:rFonts w:ascii="Lato" w:hAnsi="Lato"/>
            <w:b/>
          </w:rPr>
          <w:t>tanzania.tenders@savethechildren.org</w:t>
        </w:r>
      </w:hyperlink>
      <w:r w:rsidRPr="00536EDC">
        <w:rPr>
          <w:rFonts w:ascii="Lato" w:hAnsi="Lato"/>
          <w:b/>
        </w:rPr>
        <w:t xml:space="preserve"> </w:t>
      </w:r>
    </w:p>
    <w:p w14:paraId="3568D0E6" w14:textId="77777777" w:rsidR="00797E2C" w:rsidRPr="00536EDC" w:rsidRDefault="00797E2C" w:rsidP="00797E2C">
      <w:pPr>
        <w:spacing w:after="0"/>
        <w:rPr>
          <w:rFonts w:ascii="Lato" w:hAnsi="Lato"/>
          <w:b/>
        </w:rPr>
      </w:pPr>
      <w:r w:rsidRPr="00536EDC">
        <w:rPr>
          <w:rFonts w:ascii="Lato" w:hAnsi="Lato"/>
          <w:b/>
        </w:rPr>
        <w:t>Applicants won’t be able to participate or submit their proposals via the network if they are not registered with Save the Children’s Ariba Network.</w:t>
      </w:r>
    </w:p>
    <w:p w14:paraId="1122D7A8" w14:textId="77777777" w:rsidR="00797E2C" w:rsidRPr="00536EDC" w:rsidRDefault="00797E2C" w:rsidP="00797E2C">
      <w:pPr>
        <w:spacing w:after="0"/>
        <w:rPr>
          <w:rFonts w:ascii="Lato" w:hAnsi="Lato"/>
        </w:rPr>
      </w:pPr>
      <w:r w:rsidRPr="00536EDC">
        <w:rPr>
          <w:rFonts w:ascii="Lato" w:hAnsi="Lato"/>
          <w:b/>
        </w:rPr>
        <w:t>Applicants are required to submit via the network both financial and technical proposals as two separate attachments. Only shortlisted applicants may be asked to prepare a brief presentation for discussion and clarification (if required).</w:t>
      </w:r>
    </w:p>
    <w:p w14:paraId="04284AB3" w14:textId="77777777" w:rsidR="00390224" w:rsidRPr="006E3C70" w:rsidRDefault="00390224" w:rsidP="006E3C70">
      <w:pPr>
        <w:spacing w:after="0" w:line="276" w:lineRule="auto"/>
        <w:rPr>
          <w:rFonts w:cstheme="minorHAnsi"/>
        </w:rPr>
      </w:pPr>
    </w:p>
    <w:sectPr w:rsidR="00390224" w:rsidRPr="006E3C70" w:rsidSect="00AC1D5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A4326" w14:textId="77777777" w:rsidR="006E0E66" w:rsidRDefault="006E0E66" w:rsidP="001C6207">
      <w:pPr>
        <w:spacing w:after="0" w:line="240" w:lineRule="auto"/>
      </w:pPr>
      <w:r>
        <w:separator/>
      </w:r>
    </w:p>
  </w:endnote>
  <w:endnote w:type="continuationSeparator" w:id="0">
    <w:p w14:paraId="06CCFD9D" w14:textId="77777777" w:rsidR="006E0E66" w:rsidRDefault="006E0E66" w:rsidP="001C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Infant Std">
    <w:altName w:val="Times New Roman"/>
    <w:panose1 w:val="00000000000000000000"/>
    <w:charset w:val="00"/>
    <w:family w:val="roman"/>
    <w:notTrueType/>
    <w:pitch w:val="default"/>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458064"/>
      <w:docPartObj>
        <w:docPartGallery w:val="Page Numbers (Bottom of Page)"/>
        <w:docPartUnique/>
      </w:docPartObj>
    </w:sdtPr>
    <w:sdtEndPr>
      <w:rPr>
        <w:color w:val="7F7F7F" w:themeColor="background1" w:themeShade="7F"/>
        <w:spacing w:val="60"/>
      </w:rPr>
    </w:sdtEndPr>
    <w:sdtContent>
      <w:p w14:paraId="632E7A1A" w14:textId="4E128BC0" w:rsidR="002D51AB" w:rsidRDefault="001C620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04736">
          <w:rPr>
            <w:noProof/>
          </w:rPr>
          <w:t>5</w:t>
        </w:r>
        <w:r>
          <w:rPr>
            <w:noProof/>
          </w:rPr>
          <w:fldChar w:fldCharType="end"/>
        </w:r>
        <w:r>
          <w:t xml:space="preserve"> | </w:t>
        </w:r>
        <w:r>
          <w:rPr>
            <w:color w:val="7F7F7F" w:themeColor="background1" w:themeShade="7F"/>
            <w:spacing w:val="60"/>
          </w:rPr>
          <w:t>Page</w:t>
        </w:r>
      </w:p>
    </w:sdtContent>
  </w:sdt>
  <w:p w14:paraId="090F20CC" w14:textId="77777777" w:rsidR="002D51AB" w:rsidRDefault="00004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970CD" w14:textId="77777777" w:rsidR="006E0E66" w:rsidRDefault="006E0E66" w:rsidP="001C6207">
      <w:pPr>
        <w:spacing w:after="0" w:line="240" w:lineRule="auto"/>
      </w:pPr>
      <w:r>
        <w:separator/>
      </w:r>
    </w:p>
  </w:footnote>
  <w:footnote w:type="continuationSeparator" w:id="0">
    <w:p w14:paraId="74E21FC0" w14:textId="77777777" w:rsidR="006E0E66" w:rsidRDefault="006E0E66" w:rsidP="001C6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531"/>
    <w:multiLevelType w:val="hybridMultilevel"/>
    <w:tmpl w:val="9CAAB4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43B5884"/>
    <w:multiLevelType w:val="hybridMultilevel"/>
    <w:tmpl w:val="18C8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1535E"/>
    <w:multiLevelType w:val="hybridMultilevel"/>
    <w:tmpl w:val="A4F4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925F7"/>
    <w:multiLevelType w:val="hybridMultilevel"/>
    <w:tmpl w:val="51EEB2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8C202C2"/>
    <w:multiLevelType w:val="multilevel"/>
    <w:tmpl w:val="11CC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8D6C72"/>
    <w:multiLevelType w:val="hybridMultilevel"/>
    <w:tmpl w:val="44DAC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91DDA"/>
    <w:multiLevelType w:val="hybridMultilevel"/>
    <w:tmpl w:val="CF7E9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A45BEB"/>
    <w:multiLevelType w:val="hybridMultilevel"/>
    <w:tmpl w:val="1FF2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7415C"/>
    <w:multiLevelType w:val="hybridMultilevel"/>
    <w:tmpl w:val="676C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07"/>
    <w:rsid w:val="00004736"/>
    <w:rsid w:val="00016E28"/>
    <w:rsid w:val="000307CA"/>
    <w:rsid w:val="00031DF9"/>
    <w:rsid w:val="00064B20"/>
    <w:rsid w:val="000919C6"/>
    <w:rsid w:val="000975B4"/>
    <w:rsid w:val="000A55DC"/>
    <w:rsid w:val="000E41AB"/>
    <w:rsid w:val="000F67A5"/>
    <w:rsid w:val="00105B6F"/>
    <w:rsid w:val="00144403"/>
    <w:rsid w:val="001570E2"/>
    <w:rsid w:val="001717D8"/>
    <w:rsid w:val="00191EEA"/>
    <w:rsid w:val="001936B1"/>
    <w:rsid w:val="001A1E52"/>
    <w:rsid w:val="001C6207"/>
    <w:rsid w:val="001E128A"/>
    <w:rsid w:val="00210A14"/>
    <w:rsid w:val="0025582B"/>
    <w:rsid w:val="00273539"/>
    <w:rsid w:val="00293AD1"/>
    <w:rsid w:val="002C07B6"/>
    <w:rsid w:val="003225A2"/>
    <w:rsid w:val="00325AEA"/>
    <w:rsid w:val="00353775"/>
    <w:rsid w:val="00355765"/>
    <w:rsid w:val="00390224"/>
    <w:rsid w:val="003935A8"/>
    <w:rsid w:val="003A7696"/>
    <w:rsid w:val="003A7F0B"/>
    <w:rsid w:val="003B6510"/>
    <w:rsid w:val="003C1B1B"/>
    <w:rsid w:val="00421CD9"/>
    <w:rsid w:val="0042575D"/>
    <w:rsid w:val="00477D75"/>
    <w:rsid w:val="004F0C8A"/>
    <w:rsid w:val="0053153E"/>
    <w:rsid w:val="00571707"/>
    <w:rsid w:val="005A15BE"/>
    <w:rsid w:val="005B5B07"/>
    <w:rsid w:val="005D7B73"/>
    <w:rsid w:val="005E2229"/>
    <w:rsid w:val="005E333C"/>
    <w:rsid w:val="005E508B"/>
    <w:rsid w:val="005F6F18"/>
    <w:rsid w:val="00607D81"/>
    <w:rsid w:val="00613E6A"/>
    <w:rsid w:val="006245E9"/>
    <w:rsid w:val="00625CB2"/>
    <w:rsid w:val="00627E65"/>
    <w:rsid w:val="00631F4B"/>
    <w:rsid w:val="00657362"/>
    <w:rsid w:val="00667C26"/>
    <w:rsid w:val="00690DE1"/>
    <w:rsid w:val="006B0763"/>
    <w:rsid w:val="006C717D"/>
    <w:rsid w:val="006E0E66"/>
    <w:rsid w:val="006E3C70"/>
    <w:rsid w:val="006F7F2E"/>
    <w:rsid w:val="0070019A"/>
    <w:rsid w:val="00713A74"/>
    <w:rsid w:val="00730E04"/>
    <w:rsid w:val="007536CB"/>
    <w:rsid w:val="00760802"/>
    <w:rsid w:val="007703E8"/>
    <w:rsid w:val="00791146"/>
    <w:rsid w:val="00797E2C"/>
    <w:rsid w:val="007A0FDB"/>
    <w:rsid w:val="007C38C0"/>
    <w:rsid w:val="007E6E00"/>
    <w:rsid w:val="008233AF"/>
    <w:rsid w:val="0089039F"/>
    <w:rsid w:val="008B14FB"/>
    <w:rsid w:val="008E0F70"/>
    <w:rsid w:val="00913118"/>
    <w:rsid w:val="00915447"/>
    <w:rsid w:val="00917A87"/>
    <w:rsid w:val="009214E6"/>
    <w:rsid w:val="00955CB2"/>
    <w:rsid w:val="0096212E"/>
    <w:rsid w:val="00973D46"/>
    <w:rsid w:val="00A448BC"/>
    <w:rsid w:val="00A6501F"/>
    <w:rsid w:val="00A66F04"/>
    <w:rsid w:val="00A75494"/>
    <w:rsid w:val="00AB4334"/>
    <w:rsid w:val="00B53854"/>
    <w:rsid w:val="00B561FF"/>
    <w:rsid w:val="00B73C2B"/>
    <w:rsid w:val="00B93F37"/>
    <w:rsid w:val="00BB72DC"/>
    <w:rsid w:val="00BD10DE"/>
    <w:rsid w:val="00BF0AAF"/>
    <w:rsid w:val="00C251E1"/>
    <w:rsid w:val="00C61A66"/>
    <w:rsid w:val="00CC0038"/>
    <w:rsid w:val="00CE1E4C"/>
    <w:rsid w:val="00CE5DD9"/>
    <w:rsid w:val="00D6212D"/>
    <w:rsid w:val="00D76A45"/>
    <w:rsid w:val="00D9216B"/>
    <w:rsid w:val="00DA4F88"/>
    <w:rsid w:val="00DB705C"/>
    <w:rsid w:val="00DC5999"/>
    <w:rsid w:val="00DF04B9"/>
    <w:rsid w:val="00E036C6"/>
    <w:rsid w:val="00E11F5F"/>
    <w:rsid w:val="00E60E0D"/>
    <w:rsid w:val="00E81DEE"/>
    <w:rsid w:val="00E847D6"/>
    <w:rsid w:val="00EB7B58"/>
    <w:rsid w:val="00F24993"/>
    <w:rsid w:val="00F57BE7"/>
    <w:rsid w:val="00F61192"/>
    <w:rsid w:val="00F835DD"/>
    <w:rsid w:val="00FC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4F7DA"/>
  <w15:chartTrackingRefBased/>
  <w15:docId w15:val="{81559461-2279-4A60-92A0-9D38857B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Bullit"/>
    <w:basedOn w:val="Normal"/>
    <w:link w:val="ListParagraphChar"/>
    <w:uiPriority w:val="34"/>
    <w:qFormat/>
    <w:rsid w:val="001C6207"/>
    <w:pPr>
      <w:ind w:left="720"/>
      <w:contextualSpacing/>
    </w:pPr>
  </w:style>
  <w:style w:type="paragraph" w:styleId="Header">
    <w:name w:val="header"/>
    <w:basedOn w:val="Normal"/>
    <w:link w:val="HeaderChar"/>
    <w:uiPriority w:val="99"/>
    <w:unhideWhenUsed/>
    <w:rsid w:val="001C6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207"/>
  </w:style>
  <w:style w:type="paragraph" w:styleId="Footer">
    <w:name w:val="footer"/>
    <w:basedOn w:val="Normal"/>
    <w:link w:val="FooterChar"/>
    <w:uiPriority w:val="99"/>
    <w:unhideWhenUsed/>
    <w:rsid w:val="001C6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207"/>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basedOn w:val="DefaultParagraphFont"/>
    <w:link w:val="ListParagraph"/>
    <w:uiPriority w:val="34"/>
    <w:rsid w:val="001C6207"/>
  </w:style>
  <w:style w:type="character" w:customStyle="1" w:styleId="normaltextrun">
    <w:name w:val="normaltextrun"/>
    <w:basedOn w:val="DefaultParagraphFont"/>
    <w:rsid w:val="002C07B6"/>
  </w:style>
  <w:style w:type="paragraph" w:styleId="NormalWeb">
    <w:name w:val="Normal (Web)"/>
    <w:basedOn w:val="Normal"/>
    <w:uiPriority w:val="99"/>
    <w:semiHidden/>
    <w:unhideWhenUsed/>
    <w:rsid w:val="0025582B"/>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1">
    <w:name w:val="Grid Table 4 Accent 1"/>
    <w:basedOn w:val="TableNormal"/>
    <w:uiPriority w:val="49"/>
    <w:rsid w:val="0076080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Strong">
    <w:name w:val="Strong"/>
    <w:basedOn w:val="DefaultParagraphFont"/>
    <w:uiPriority w:val="22"/>
    <w:qFormat/>
    <w:rsid w:val="00421CD9"/>
    <w:rPr>
      <w:b/>
      <w:bCs/>
    </w:rPr>
  </w:style>
  <w:style w:type="character" w:styleId="Hyperlink">
    <w:name w:val="Hyperlink"/>
    <w:basedOn w:val="DefaultParagraphFont"/>
    <w:uiPriority w:val="99"/>
    <w:unhideWhenUsed/>
    <w:rsid w:val="00797E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82139">
      <w:bodyDiv w:val="1"/>
      <w:marLeft w:val="0"/>
      <w:marRight w:val="0"/>
      <w:marTop w:val="0"/>
      <w:marBottom w:val="0"/>
      <w:divBdr>
        <w:top w:val="none" w:sz="0" w:space="0" w:color="auto"/>
        <w:left w:val="none" w:sz="0" w:space="0" w:color="auto"/>
        <w:bottom w:val="none" w:sz="0" w:space="0" w:color="auto"/>
        <w:right w:val="none" w:sz="0" w:space="0" w:color="auto"/>
      </w:divBdr>
    </w:div>
    <w:div w:id="789204513">
      <w:bodyDiv w:val="1"/>
      <w:marLeft w:val="0"/>
      <w:marRight w:val="0"/>
      <w:marTop w:val="0"/>
      <w:marBottom w:val="0"/>
      <w:divBdr>
        <w:top w:val="none" w:sz="0" w:space="0" w:color="auto"/>
        <w:left w:val="none" w:sz="0" w:space="0" w:color="auto"/>
        <w:bottom w:val="none" w:sz="0" w:space="0" w:color="auto"/>
        <w:right w:val="none" w:sz="0" w:space="0" w:color="auto"/>
      </w:divBdr>
    </w:div>
    <w:div w:id="14920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tanzania.tenders@savethechildren.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B13E5AF7AA44EAA43DB9902AD4333" ma:contentTypeVersion="14" ma:contentTypeDescription="Create a new document." ma:contentTypeScope="" ma:versionID="12c6b9f2a4ff445f13dd9d834c6a21cf">
  <xsd:schema xmlns:xsd="http://www.w3.org/2001/XMLSchema" xmlns:xs="http://www.w3.org/2001/XMLSchema" xmlns:p="http://schemas.microsoft.com/office/2006/metadata/properties" xmlns:ns3="2c060358-03c6-4ab5-b0d7-49daf90eeaac" xmlns:ns4="8f2bd866-0140-4783-bf99-347f6f982800" targetNamespace="http://schemas.microsoft.com/office/2006/metadata/properties" ma:root="true" ma:fieldsID="002dfdab692da04825c2bb742972ad88" ns3:_="" ns4:_="">
    <xsd:import namespace="2c060358-03c6-4ab5-b0d7-49daf90eeaac"/>
    <xsd:import namespace="8f2bd866-0140-4783-bf99-347f6f9828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60358-03c6-4ab5-b0d7-49daf90ee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bd866-0140-4783-bf99-347f6f9828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FA5F8-DAEC-49C5-A62A-8E9B1061B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60358-03c6-4ab5-b0d7-49daf90eeaac"/>
    <ds:schemaRef ds:uri="8f2bd866-0140-4783-bf99-347f6f982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99452-3B8E-4847-A94B-BD56E1B774A7}">
  <ds:schemaRefs>
    <ds:schemaRef ds:uri="http://schemas.microsoft.com/sharepoint/v3/contenttype/forms"/>
  </ds:schemaRefs>
</ds:datastoreItem>
</file>

<file path=customXml/itemProps3.xml><?xml version="1.0" encoding="utf-8"?>
<ds:datastoreItem xmlns:ds="http://schemas.openxmlformats.org/officeDocument/2006/customXml" ds:itemID="{1A5EFDAB-1554-443F-A2FB-A040FED63165}">
  <ds:schemaRefs>
    <ds:schemaRef ds:uri="8f2bd866-0140-4783-bf99-347f6f98280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c060358-03c6-4ab5-b0d7-49daf90eeaa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Save the Children Federation</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Khatri-Chhetri, Arun</dc:creator>
  <cp:keywords/>
  <dc:description/>
  <cp:lastModifiedBy>Dawai, Amani</cp:lastModifiedBy>
  <cp:revision>2</cp:revision>
  <dcterms:created xsi:type="dcterms:W3CDTF">2022-11-23T07:31:00Z</dcterms:created>
  <dcterms:modified xsi:type="dcterms:W3CDTF">2022-11-23T07:31:00Z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20289806-5b86-4edf-bf83-04a381838000</vt:lpwstr>
  </property>
  <property fmtid="{D5CDD505-2E9C-101B-9397-08002B2CF9AE}" pid="3" name="ContentTypeId">
    <vt:lpwstr>0x010100482B13E5AF7AA44EAA43DB9902AD4333</vt:lpwstr>
  </property>
</Properties>
</file>